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C0BE7" w14:textId="77777777" w:rsidR="00697A05" w:rsidRDefault="00697A05" w:rsidP="00697A05">
      <w:pPr>
        <w:jc w:val="center"/>
      </w:pPr>
      <w:r w:rsidRPr="00B10735">
        <w:rPr>
          <w:noProof/>
          <w:sz w:val="20"/>
          <w:szCs w:val="20"/>
        </w:rPr>
        <w:drawing>
          <wp:inline distT="0" distB="0" distL="0" distR="0" wp14:anchorId="180FCD96" wp14:editId="314EBFB2">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7D9181B1" w14:textId="77777777" w:rsidR="00697A05" w:rsidRDefault="00697A05"/>
    <w:p w14:paraId="52296F44" w14:textId="77777777" w:rsidR="00697A05" w:rsidRDefault="00697A05"/>
    <w:p w14:paraId="1A9E693C" w14:textId="77777777" w:rsidR="00697A05" w:rsidRDefault="00697A05">
      <w:r>
        <w:t>12 September 2016</w:t>
      </w:r>
    </w:p>
    <w:p w14:paraId="4A37DAFE" w14:textId="77777777" w:rsidR="00697A05" w:rsidRDefault="00697A05"/>
    <w:p w14:paraId="5BD924F4" w14:textId="77777777" w:rsidR="00697A05" w:rsidRDefault="00697A05">
      <w:r>
        <w:t>Office of Strategic Legislation and Policy</w:t>
      </w:r>
    </w:p>
    <w:p w14:paraId="346B86F3" w14:textId="77777777" w:rsidR="00697A05" w:rsidRDefault="00697A05" w:rsidP="00697A05">
      <w:r>
        <w:t>Department of Justice</w:t>
      </w:r>
    </w:p>
    <w:p w14:paraId="1C24D7BE" w14:textId="77777777" w:rsidR="00697A05" w:rsidRDefault="00697A05">
      <w:r>
        <w:t>GPO Box 825</w:t>
      </w:r>
    </w:p>
    <w:p w14:paraId="4C756818" w14:textId="77777777" w:rsidR="00697A05" w:rsidRDefault="00697A05">
      <w:r>
        <w:t>Hobart TAS 7001</w:t>
      </w:r>
    </w:p>
    <w:p w14:paraId="4F2732EA" w14:textId="77777777" w:rsidR="00697A05" w:rsidRDefault="00697A05">
      <w:r>
        <w:t>Attn: Catherine Vickers</w:t>
      </w:r>
    </w:p>
    <w:p w14:paraId="2DD91ED0" w14:textId="77777777" w:rsidR="00697A05" w:rsidRDefault="00697A05"/>
    <w:p w14:paraId="7D7FE94D" w14:textId="77777777" w:rsidR="00697A05" w:rsidRDefault="00697A05">
      <w:r>
        <w:t>Dear Catherine,</w:t>
      </w:r>
    </w:p>
    <w:p w14:paraId="2F2623B6" w14:textId="77777777" w:rsidR="00697A05" w:rsidRPr="00FA1C99" w:rsidRDefault="00697A05">
      <w:pPr>
        <w:pBdr>
          <w:bottom w:val="single" w:sz="6" w:space="1" w:color="auto"/>
        </w:pBdr>
        <w:rPr>
          <w:b/>
        </w:rPr>
      </w:pPr>
      <w:r w:rsidRPr="00FA1C99">
        <w:rPr>
          <w:b/>
        </w:rPr>
        <w:t xml:space="preserve">Re: </w:t>
      </w:r>
      <w:r w:rsidRPr="00FA1C99">
        <w:rPr>
          <w:b/>
          <w:i/>
        </w:rPr>
        <w:t>Anti-Discrimination Amendment Bill 2016</w:t>
      </w:r>
    </w:p>
    <w:p w14:paraId="6534D6F4" w14:textId="77777777" w:rsidR="00697A05" w:rsidRDefault="00697A05">
      <w:r>
        <w:t xml:space="preserve"> </w:t>
      </w:r>
    </w:p>
    <w:p w14:paraId="372746AD" w14:textId="77777777" w:rsidR="00FA1C99" w:rsidRDefault="00FA1C99" w:rsidP="00FA1C99">
      <w:pPr>
        <w:ind w:right="-347"/>
        <w:jc w:val="both"/>
      </w:pPr>
      <w:r w:rsidRPr="008A004F">
        <w:rPr>
          <w:rFonts w:cs="Calibri"/>
        </w:rPr>
        <w:t xml:space="preserve">Community Legal </w:t>
      </w:r>
      <w:proofErr w:type="spellStart"/>
      <w:r w:rsidRPr="008A004F">
        <w:rPr>
          <w:rFonts w:cs="Calibri"/>
        </w:rPr>
        <w:t>Centres</w:t>
      </w:r>
      <w:proofErr w:type="spellEnd"/>
      <w:r w:rsidRPr="008A004F">
        <w:rPr>
          <w:rFonts w:cs="Calibri"/>
        </w:rPr>
        <w:t xml:space="preserve"> Tasmania (CLC </w:t>
      </w:r>
      <w:proofErr w:type="spellStart"/>
      <w:r w:rsidRPr="008A004F">
        <w:rPr>
          <w:rFonts w:cs="Calibri"/>
        </w:rPr>
        <w:t>Tas</w:t>
      </w:r>
      <w:proofErr w:type="spellEnd"/>
      <w:r w:rsidRPr="008A004F">
        <w:rPr>
          <w:rFonts w:cs="Calibri"/>
        </w:rPr>
        <w:t>)</w:t>
      </w:r>
      <w:r w:rsidRPr="008A004F">
        <w:t xml:space="preserve"> </w:t>
      </w:r>
      <w:r>
        <w:t>welcomes</w:t>
      </w:r>
      <w:r w:rsidRPr="008A004F">
        <w:t xml:space="preserve"> the opportunity to </w:t>
      </w:r>
      <w:r>
        <w:t xml:space="preserve">provide comment on the </w:t>
      </w:r>
      <w:r>
        <w:rPr>
          <w:i/>
        </w:rPr>
        <w:t>Anti-Discrimination Amendment Bill 2016</w:t>
      </w:r>
      <w:r w:rsidRPr="008A004F">
        <w:t>.</w:t>
      </w:r>
    </w:p>
    <w:p w14:paraId="78CF343C" w14:textId="77777777" w:rsidR="00FA1C99" w:rsidRDefault="00FA1C99" w:rsidP="00FA1C99">
      <w:pPr>
        <w:ind w:right="-347"/>
        <w:jc w:val="both"/>
      </w:pPr>
    </w:p>
    <w:p w14:paraId="4013D663" w14:textId="77777777" w:rsidR="00FA1C99" w:rsidRPr="00DB6390" w:rsidRDefault="00FA1C99" w:rsidP="00FA1C99">
      <w:pPr>
        <w:ind w:right="-347"/>
        <w:jc w:val="both"/>
        <w:rPr>
          <w:rFonts w:cs="Arial"/>
          <w:color w:val="000000"/>
        </w:rPr>
      </w:pPr>
      <w:r w:rsidRPr="008A004F">
        <w:rPr>
          <w:rFonts w:eastAsia="Times New Roman" w:cs="Arial"/>
          <w:lang w:eastAsia="en-AU"/>
        </w:rPr>
        <w:t xml:space="preserve">CLC </w:t>
      </w:r>
      <w:proofErr w:type="spellStart"/>
      <w:proofErr w:type="gramStart"/>
      <w:r w:rsidRPr="008A004F">
        <w:rPr>
          <w:rFonts w:eastAsia="Times New Roman" w:cs="Arial"/>
          <w:lang w:eastAsia="en-AU"/>
        </w:rPr>
        <w:t>Tas</w:t>
      </w:r>
      <w:proofErr w:type="spellEnd"/>
      <w:proofErr w:type="gramEnd"/>
      <w:r w:rsidRPr="008A004F">
        <w:rPr>
          <w:rFonts w:eastAsia="Times New Roman" w:cs="Arial"/>
          <w:lang w:eastAsia="en-AU"/>
        </w:rPr>
        <w:t xml:space="preserve"> </w:t>
      </w:r>
      <w:r w:rsidRPr="008A004F">
        <w:rPr>
          <w:rFonts w:cs="Arial"/>
        </w:rPr>
        <w:t xml:space="preserve">is the peak body representing the interests of eight community legal </w:t>
      </w:r>
      <w:proofErr w:type="spellStart"/>
      <w:r w:rsidRPr="008A004F">
        <w:rPr>
          <w:rFonts w:cs="Arial"/>
        </w:rPr>
        <w:t>centres</w:t>
      </w:r>
      <w:proofErr w:type="spellEnd"/>
      <w:r w:rsidRPr="008A004F">
        <w:rPr>
          <w:rFonts w:cs="Arial"/>
        </w:rPr>
        <w:t xml:space="preserve"> (CLCs) located throu</w:t>
      </w:r>
      <w:r>
        <w:rPr>
          <w:rFonts w:cs="Arial"/>
        </w:rPr>
        <w:t>ghout Tasmania. We are a member-</w:t>
      </w:r>
      <w:r w:rsidRPr="008A004F">
        <w:rPr>
          <w:rFonts w:cs="Arial"/>
        </w:rPr>
        <w:t>based, independent, no</w:t>
      </w:r>
      <w:r>
        <w:rPr>
          <w:rFonts w:cs="Arial"/>
        </w:rPr>
        <w:t>t</w:t>
      </w:r>
      <w:r w:rsidRPr="008A004F">
        <w:rPr>
          <w:rFonts w:cs="Arial"/>
        </w:rPr>
        <w:t xml:space="preserve">-for-profit and incorporated </w:t>
      </w:r>
      <w:proofErr w:type="spellStart"/>
      <w:r w:rsidRPr="008A004F">
        <w:rPr>
          <w:rFonts w:cs="Arial"/>
        </w:rPr>
        <w:t>organisation</w:t>
      </w:r>
      <w:proofErr w:type="spellEnd"/>
      <w:r w:rsidRPr="008A004F">
        <w:rPr>
          <w:rFonts w:cs="Arial"/>
        </w:rPr>
        <w:t xml:space="preserve"> that</w:t>
      </w:r>
      <w:r w:rsidRPr="008A004F">
        <w:rPr>
          <w:rFonts w:cs="Arial"/>
          <w:color w:val="000000"/>
        </w:rPr>
        <w:t xml:space="preserve"> advocates for law reform on a range of public interest matters aimed at improving access to justice, reducing discrimination and protecting and promoting human rights. </w:t>
      </w:r>
    </w:p>
    <w:p w14:paraId="54145FB7" w14:textId="77777777" w:rsidR="00FA1C99" w:rsidRDefault="00FA1C99" w:rsidP="00FA1C99">
      <w:pPr>
        <w:ind w:right="-347"/>
        <w:jc w:val="both"/>
        <w:rPr>
          <w:rFonts w:cs="Arial"/>
        </w:rPr>
      </w:pPr>
    </w:p>
    <w:p w14:paraId="4E57D0DC" w14:textId="61AAEADC" w:rsidR="002942F9" w:rsidRDefault="00FA1C99" w:rsidP="00FA1C99">
      <w:pPr>
        <w:ind w:right="-347"/>
        <w:jc w:val="both"/>
        <w:rPr>
          <w:rFonts w:cs="Arial"/>
        </w:rPr>
      </w:pPr>
      <w:r>
        <w:rPr>
          <w:rFonts w:cs="Arial"/>
        </w:rPr>
        <w:t>We strongly</w:t>
      </w:r>
      <w:r w:rsidR="00B77014">
        <w:rPr>
          <w:rFonts w:cs="Arial"/>
        </w:rPr>
        <w:t xml:space="preserve"> oppose the proposed amendments. However, given the Government’s short consultation period, our focus is limited to the amendment to section 55 of the </w:t>
      </w:r>
      <w:r w:rsidR="00B77014" w:rsidRPr="00B77014">
        <w:rPr>
          <w:rFonts w:cs="Arial"/>
          <w:i/>
        </w:rPr>
        <w:t>Anti-Discrimination Act 1997</w:t>
      </w:r>
      <w:r w:rsidR="00B77014">
        <w:rPr>
          <w:rFonts w:cs="Arial"/>
        </w:rPr>
        <w:t xml:space="preserve"> (</w:t>
      </w:r>
      <w:proofErr w:type="spellStart"/>
      <w:r w:rsidR="00B77014">
        <w:rPr>
          <w:rFonts w:cs="Arial"/>
        </w:rPr>
        <w:t>Tas</w:t>
      </w:r>
      <w:proofErr w:type="spellEnd"/>
      <w:r w:rsidR="00B77014">
        <w:rPr>
          <w:rFonts w:cs="Arial"/>
        </w:rPr>
        <w:t xml:space="preserve">) (‘the Act’). </w:t>
      </w:r>
      <w:r>
        <w:rPr>
          <w:rFonts w:cs="Arial"/>
        </w:rPr>
        <w:t xml:space="preserve"> </w:t>
      </w:r>
    </w:p>
    <w:p w14:paraId="10CD69B6" w14:textId="77777777" w:rsidR="005446AB" w:rsidRDefault="005446AB" w:rsidP="00560753">
      <w:pPr>
        <w:ind w:right="-347"/>
        <w:jc w:val="both"/>
        <w:rPr>
          <w:rFonts w:cs="Arial"/>
        </w:rPr>
      </w:pPr>
    </w:p>
    <w:p w14:paraId="7E1E6F93" w14:textId="18BCBDB3" w:rsidR="002E7BB4" w:rsidRPr="00491A76" w:rsidRDefault="005446AB" w:rsidP="002E7BB4">
      <w:pPr>
        <w:ind w:right="-347"/>
        <w:jc w:val="both"/>
        <w:rPr>
          <w:rFonts w:eastAsia="Times New Roman" w:cs="Times New Roman"/>
        </w:rPr>
      </w:pPr>
      <w:r>
        <w:rPr>
          <w:rFonts w:cs="Arial"/>
        </w:rPr>
        <w:t xml:space="preserve">In short, we strongly believe that </w:t>
      </w:r>
      <w:r w:rsidR="00AB4978">
        <w:rPr>
          <w:rFonts w:cs="Arial"/>
        </w:rPr>
        <w:t>amending section 55 of the Act is both</w:t>
      </w:r>
      <w:r w:rsidR="002942F9">
        <w:rPr>
          <w:rFonts w:cs="Arial"/>
        </w:rPr>
        <w:t xml:space="preserve"> unnecessary</w:t>
      </w:r>
      <w:r w:rsidR="00B77014">
        <w:rPr>
          <w:rFonts w:cs="Arial"/>
        </w:rPr>
        <w:t xml:space="preserve"> and dangerous</w:t>
      </w:r>
      <w:r w:rsidR="002942F9">
        <w:rPr>
          <w:rFonts w:cs="Arial"/>
        </w:rPr>
        <w:t>.</w:t>
      </w:r>
      <w:r>
        <w:rPr>
          <w:rFonts w:cs="Arial"/>
        </w:rPr>
        <w:t xml:space="preserve"> Our submission </w:t>
      </w:r>
      <w:r w:rsidR="00737AB5">
        <w:rPr>
          <w:rFonts w:cs="Arial"/>
        </w:rPr>
        <w:t>outlines</w:t>
      </w:r>
      <w:r>
        <w:rPr>
          <w:rFonts w:cs="Arial"/>
        </w:rPr>
        <w:t xml:space="preserve"> the current law</w:t>
      </w:r>
      <w:r w:rsidR="00CC1478">
        <w:rPr>
          <w:rFonts w:cs="Arial"/>
        </w:rPr>
        <w:t>,</w:t>
      </w:r>
      <w:r>
        <w:rPr>
          <w:rFonts w:cs="Arial"/>
        </w:rPr>
        <w:t xml:space="preserve"> </w:t>
      </w:r>
      <w:r w:rsidR="00737AB5">
        <w:rPr>
          <w:rFonts w:cs="Arial"/>
        </w:rPr>
        <w:t xml:space="preserve">highlighting </w:t>
      </w:r>
      <w:r w:rsidR="00CC1478">
        <w:rPr>
          <w:rFonts w:cs="Arial"/>
        </w:rPr>
        <w:t xml:space="preserve">three </w:t>
      </w:r>
      <w:proofErr w:type="spellStart"/>
      <w:r w:rsidR="00737AB5">
        <w:rPr>
          <w:rFonts w:cs="Arial"/>
        </w:rPr>
        <w:t>defences</w:t>
      </w:r>
      <w:proofErr w:type="spellEnd"/>
      <w:r w:rsidR="00737AB5">
        <w:rPr>
          <w:rFonts w:cs="Arial"/>
        </w:rPr>
        <w:t xml:space="preserve"> </w:t>
      </w:r>
      <w:r>
        <w:rPr>
          <w:rFonts w:cs="Arial"/>
        </w:rPr>
        <w:t>available to respondents</w:t>
      </w:r>
      <w:r w:rsidR="00CC1478">
        <w:rPr>
          <w:rFonts w:cs="Arial"/>
        </w:rPr>
        <w:t>,</w:t>
      </w:r>
      <w:r>
        <w:rPr>
          <w:rFonts w:cs="Arial"/>
        </w:rPr>
        <w:t xml:space="preserve"> including the </w:t>
      </w:r>
      <w:r w:rsidR="00CC1478">
        <w:rPr>
          <w:rFonts w:cs="Arial"/>
        </w:rPr>
        <w:t xml:space="preserve">reasonable person </w:t>
      </w:r>
      <w:proofErr w:type="spellStart"/>
      <w:r w:rsidR="00CC1478">
        <w:rPr>
          <w:rFonts w:cs="Arial"/>
        </w:rPr>
        <w:t>defence</w:t>
      </w:r>
      <w:proofErr w:type="spellEnd"/>
      <w:r w:rsidR="00CC1478">
        <w:rPr>
          <w:rFonts w:cs="Arial"/>
        </w:rPr>
        <w:t xml:space="preserve">, </w:t>
      </w:r>
      <w:proofErr w:type="gramStart"/>
      <w:r w:rsidR="00CC1478">
        <w:rPr>
          <w:rFonts w:cs="Arial"/>
        </w:rPr>
        <w:t>the</w:t>
      </w:r>
      <w:proofErr w:type="gramEnd"/>
      <w:r w:rsidR="00CC1478">
        <w:rPr>
          <w:rFonts w:cs="Arial"/>
        </w:rPr>
        <w:t xml:space="preserve"> </w:t>
      </w:r>
      <w:r>
        <w:rPr>
          <w:rFonts w:cs="Arial"/>
        </w:rPr>
        <w:t xml:space="preserve">public purpose </w:t>
      </w:r>
      <w:proofErr w:type="spellStart"/>
      <w:r>
        <w:rPr>
          <w:rFonts w:cs="Arial"/>
        </w:rPr>
        <w:t>defence</w:t>
      </w:r>
      <w:proofErr w:type="spellEnd"/>
      <w:r w:rsidR="007933FF">
        <w:rPr>
          <w:rFonts w:cs="Arial"/>
        </w:rPr>
        <w:t xml:space="preserve"> and the </w:t>
      </w:r>
      <w:r>
        <w:rPr>
          <w:rFonts w:cs="Arial"/>
        </w:rPr>
        <w:t xml:space="preserve">implied </w:t>
      </w:r>
      <w:r w:rsidR="00491A76">
        <w:rPr>
          <w:rFonts w:cs="Arial"/>
        </w:rPr>
        <w:t>freedom</w:t>
      </w:r>
      <w:r>
        <w:rPr>
          <w:rFonts w:cs="Arial"/>
        </w:rPr>
        <w:t xml:space="preserve"> of political communication. We then go on to outline why the Bill is dangerous, arguing that the proposed amendments will provide</w:t>
      </w:r>
      <w:r w:rsidR="007933FF">
        <w:rPr>
          <w:rFonts w:cs="Arial"/>
        </w:rPr>
        <w:t xml:space="preserve"> a platform for </w:t>
      </w:r>
      <w:r w:rsidR="00737AB5">
        <w:rPr>
          <w:rFonts w:eastAsia="Times New Roman" w:cs="Times New Roman"/>
        </w:rPr>
        <w:t>persons with a religious purpose</w:t>
      </w:r>
      <w:r w:rsidR="007933FF">
        <w:rPr>
          <w:rFonts w:eastAsia="Times New Roman" w:cs="Times New Roman"/>
        </w:rPr>
        <w:t xml:space="preserve"> to discriminate and/or incite hatred against minority groups including women, the disabled and the LGBTI community.  </w:t>
      </w:r>
    </w:p>
    <w:p w14:paraId="2A64640B" w14:textId="77777777" w:rsidR="00D613B5" w:rsidRDefault="00D613B5" w:rsidP="002E7BB4">
      <w:pPr>
        <w:ind w:right="-347"/>
        <w:jc w:val="both"/>
        <w:rPr>
          <w:b/>
          <w:i/>
        </w:rPr>
      </w:pPr>
    </w:p>
    <w:p w14:paraId="5EDCE7F4" w14:textId="0C13E9DB" w:rsidR="002E7BB4" w:rsidRDefault="002E7BB4" w:rsidP="002E7BB4">
      <w:pPr>
        <w:ind w:right="-347"/>
        <w:jc w:val="both"/>
        <w:rPr>
          <w:b/>
          <w:i/>
        </w:rPr>
      </w:pPr>
      <w:r>
        <w:rPr>
          <w:b/>
          <w:i/>
        </w:rPr>
        <w:t xml:space="preserve">A brief summary of the </w:t>
      </w:r>
      <w:r w:rsidR="00737AB5">
        <w:rPr>
          <w:b/>
          <w:i/>
        </w:rPr>
        <w:t>Anti-Discrimination Act 1997 (</w:t>
      </w:r>
      <w:proofErr w:type="spellStart"/>
      <w:r w:rsidR="00737AB5">
        <w:rPr>
          <w:b/>
          <w:i/>
        </w:rPr>
        <w:t>Tas</w:t>
      </w:r>
      <w:proofErr w:type="spellEnd"/>
      <w:r w:rsidR="00737AB5">
        <w:rPr>
          <w:b/>
          <w:i/>
        </w:rPr>
        <w:t xml:space="preserve">) and the </w:t>
      </w:r>
      <w:proofErr w:type="spellStart"/>
      <w:r w:rsidR="00737AB5">
        <w:rPr>
          <w:b/>
          <w:i/>
        </w:rPr>
        <w:t>defences</w:t>
      </w:r>
      <w:proofErr w:type="spellEnd"/>
      <w:r w:rsidR="00737AB5">
        <w:rPr>
          <w:b/>
          <w:i/>
        </w:rPr>
        <w:t xml:space="preserve"> available</w:t>
      </w:r>
    </w:p>
    <w:p w14:paraId="6FAECFE1" w14:textId="271603C8" w:rsidR="00CC1478" w:rsidRPr="0010289A" w:rsidRDefault="00B36748" w:rsidP="00063C14">
      <w:pPr>
        <w:ind w:right="-347"/>
        <w:jc w:val="both"/>
      </w:pPr>
      <w:r>
        <w:t xml:space="preserve">Section 17(1) of the Act </w:t>
      </w:r>
      <w:r w:rsidR="00063C14">
        <w:t>prohibits conduct which “</w:t>
      </w:r>
      <w:r w:rsidR="00063C14">
        <w:rPr>
          <w:rFonts w:eastAsia="Times New Roman" w:cs="Times New Roman"/>
        </w:rPr>
        <w:t>offends, humiliates, intimidates, insults or ridicules another person on the basis of [a range of attributes including] sexual orientation”. In order to be unlawful, the court must then be satisfied “that a reasonable person, having regard to all the circumstances, would have anticipated that the other person would be</w:t>
      </w:r>
      <w:r w:rsidR="0010289A" w:rsidRPr="0010289A">
        <w:rPr>
          <w:rFonts w:eastAsia="Times New Roman" w:cs="Times New Roman"/>
        </w:rPr>
        <w:t xml:space="preserve"> </w:t>
      </w:r>
      <w:r w:rsidR="0010289A">
        <w:rPr>
          <w:rFonts w:eastAsia="Times New Roman" w:cs="Times New Roman"/>
        </w:rPr>
        <w:t>offended, humiliated, intimidated, insulted or ridiculed</w:t>
      </w:r>
      <w:r w:rsidR="00063C14">
        <w:rPr>
          <w:rFonts w:eastAsia="Times New Roman" w:cs="Times New Roman"/>
        </w:rPr>
        <w:t>”.</w:t>
      </w:r>
      <w:r w:rsidR="00075FA1">
        <w:rPr>
          <w:rFonts w:eastAsia="Times New Roman" w:cs="Times New Roman"/>
        </w:rPr>
        <w:t xml:space="preserve"> </w:t>
      </w:r>
      <w:r w:rsidR="00CC1478">
        <w:t xml:space="preserve">Applying the ‘reasonable person’ test to the conduct requires there to be objective consideration, answered by reference to what a reasonable person would </w:t>
      </w:r>
      <w:r w:rsidR="00CC1478">
        <w:lastRenderedPageBreak/>
        <w:t>have anticipated in all of the circumstances.</w:t>
      </w:r>
      <w:r w:rsidR="00CC1478">
        <w:rPr>
          <w:rStyle w:val="FootnoteReference"/>
        </w:rPr>
        <w:footnoteReference w:id="1"/>
      </w:r>
      <w:r w:rsidR="00CC1478">
        <w:rPr>
          <w:rFonts w:eastAsia="Times New Roman" w:cs="Times New Roman"/>
        </w:rPr>
        <w:t xml:space="preserve"> </w:t>
      </w:r>
      <w:r w:rsidR="00CC1478">
        <w:t>A reasonable person’s perspective is to be assessed in the role of a hypothetical observer.</w:t>
      </w:r>
      <w:r w:rsidR="00CC1478">
        <w:rPr>
          <w:rStyle w:val="FootnoteReference"/>
        </w:rPr>
        <w:footnoteReference w:id="2"/>
      </w:r>
      <w:r w:rsidR="00CC1478">
        <w:t xml:space="preserve"> </w:t>
      </w:r>
      <w:r w:rsidR="00075FA1">
        <w:t xml:space="preserve">Applying the first of the three </w:t>
      </w:r>
      <w:proofErr w:type="spellStart"/>
      <w:r w:rsidR="00075FA1">
        <w:t>defences</w:t>
      </w:r>
      <w:proofErr w:type="spellEnd"/>
      <w:r w:rsidR="00075FA1">
        <w:t xml:space="preserve"> available, respondents are able to argue that the conduct the subject of the complaint is not of a degree </w:t>
      </w:r>
      <w:r w:rsidR="00CC1478">
        <w:t xml:space="preserve">that </w:t>
      </w:r>
      <w:r w:rsidR="00075FA1">
        <w:t xml:space="preserve">would </w:t>
      </w:r>
      <w:r w:rsidR="0010289A">
        <w:rPr>
          <w:rFonts w:eastAsia="Times New Roman" w:cs="Times New Roman"/>
        </w:rPr>
        <w:t>offend, humiliate, intimidate, insult or ridicule</w:t>
      </w:r>
      <w:r w:rsidR="0010289A">
        <w:t xml:space="preserve"> </w:t>
      </w:r>
      <w:r w:rsidR="00075FA1">
        <w:t xml:space="preserve">the reasonable person. </w:t>
      </w:r>
    </w:p>
    <w:p w14:paraId="37C4611D" w14:textId="77777777" w:rsidR="00F73BF6" w:rsidRDefault="00F73BF6" w:rsidP="00CA60DB">
      <w:pPr>
        <w:ind w:right="-347"/>
        <w:jc w:val="both"/>
        <w:rPr>
          <w:rFonts w:eastAsia="Times New Roman" w:cs="Times New Roman"/>
        </w:rPr>
      </w:pPr>
    </w:p>
    <w:p w14:paraId="00D6C1B4" w14:textId="6131A3C1" w:rsidR="00075FA1" w:rsidRDefault="00B36748" w:rsidP="00CA60DB">
      <w:pPr>
        <w:ind w:right="-347"/>
        <w:jc w:val="both"/>
        <w:rPr>
          <w:rFonts w:eastAsia="Times New Roman" w:cs="Times New Roman"/>
        </w:rPr>
      </w:pPr>
      <w:r>
        <w:rPr>
          <w:rFonts w:eastAsia="Times New Roman" w:cs="Times New Roman"/>
        </w:rPr>
        <w:t xml:space="preserve">Section 19 of the Act </w:t>
      </w:r>
      <w:r w:rsidR="00EF185E">
        <w:rPr>
          <w:rFonts w:eastAsia="Times New Roman" w:cs="Times New Roman"/>
        </w:rPr>
        <w:t>then goes on to provide</w:t>
      </w:r>
      <w:r w:rsidR="007648C6">
        <w:rPr>
          <w:rFonts w:eastAsia="Times New Roman" w:cs="Times New Roman"/>
        </w:rPr>
        <w:t xml:space="preserve"> that a person</w:t>
      </w:r>
      <w:r w:rsidR="00E57426">
        <w:rPr>
          <w:rFonts w:eastAsia="Times New Roman" w:cs="Times New Roman"/>
        </w:rPr>
        <w:t xml:space="preserve"> must not “incite hatred towards, serious contempt for, or severe ridicule of, a person or a group of persons on the grounds of</w:t>
      </w:r>
      <w:r w:rsidR="007648C6">
        <w:rPr>
          <w:rFonts w:eastAsia="Times New Roman" w:cs="Times New Roman"/>
        </w:rPr>
        <w:t>… the sexual orientation or lawful sexual activity of the person or any member of that group”.</w:t>
      </w:r>
    </w:p>
    <w:p w14:paraId="0D040050" w14:textId="77777777" w:rsidR="00075FA1" w:rsidRDefault="00075FA1" w:rsidP="00CA60DB">
      <w:pPr>
        <w:ind w:right="-347"/>
        <w:jc w:val="both"/>
        <w:rPr>
          <w:rFonts w:eastAsia="Times New Roman" w:cs="Times New Roman"/>
        </w:rPr>
      </w:pPr>
    </w:p>
    <w:p w14:paraId="46CBFD49" w14:textId="129BCB74" w:rsidR="00CA60DB" w:rsidRPr="00075FA1" w:rsidRDefault="00B36748" w:rsidP="00CA60DB">
      <w:pPr>
        <w:ind w:right="-347"/>
        <w:jc w:val="both"/>
        <w:rPr>
          <w:rFonts w:eastAsia="Times New Roman" w:cs="Times New Roman"/>
        </w:rPr>
      </w:pPr>
      <w:r>
        <w:rPr>
          <w:rFonts w:eastAsia="Times New Roman" w:cs="Times New Roman"/>
        </w:rPr>
        <w:t>I</w:t>
      </w:r>
      <w:r w:rsidR="007648C6">
        <w:rPr>
          <w:rFonts w:eastAsia="Times New Roman" w:cs="Times New Roman"/>
        </w:rPr>
        <w:t>f complaints are made under section 17(1) or 19 of the Act</w:t>
      </w:r>
      <w:r w:rsidR="00F13C24">
        <w:rPr>
          <w:rFonts w:eastAsia="Times New Roman" w:cs="Times New Roman"/>
        </w:rPr>
        <w:t>,</w:t>
      </w:r>
      <w:r w:rsidR="0067210E">
        <w:rPr>
          <w:rFonts w:eastAsia="Times New Roman" w:cs="Times New Roman"/>
        </w:rPr>
        <w:t xml:space="preserve"> </w:t>
      </w:r>
      <w:r w:rsidR="00957E80">
        <w:t xml:space="preserve">a </w:t>
      </w:r>
      <w:r w:rsidR="00CA60DB">
        <w:t xml:space="preserve">‘public purpose’ </w:t>
      </w:r>
      <w:proofErr w:type="spellStart"/>
      <w:r w:rsidR="00957E80">
        <w:t>defence</w:t>
      </w:r>
      <w:proofErr w:type="spellEnd"/>
      <w:r w:rsidR="00957E80">
        <w:t xml:space="preserve"> </w:t>
      </w:r>
      <w:r w:rsidR="0067210E">
        <w:t xml:space="preserve">is provided </w:t>
      </w:r>
      <w:r w:rsidR="00957E80">
        <w:t xml:space="preserve">in section 55 which </w:t>
      </w:r>
      <w:r w:rsidR="00CA60DB">
        <w:t xml:space="preserve">relevantly </w:t>
      </w:r>
      <w:r w:rsidR="00957E80">
        <w:t>provides:</w:t>
      </w:r>
      <w:r w:rsidR="006D7ADC">
        <w:t xml:space="preserve"> </w:t>
      </w:r>
    </w:p>
    <w:p w14:paraId="6C09F4F9" w14:textId="77777777" w:rsidR="00CA60DB" w:rsidRDefault="00CA60DB" w:rsidP="00CA60DB">
      <w:pPr>
        <w:ind w:right="-347"/>
        <w:jc w:val="both"/>
      </w:pPr>
    </w:p>
    <w:p w14:paraId="2B5EDEDF" w14:textId="77777777" w:rsidR="00CA60DB" w:rsidRPr="00CA60DB" w:rsidRDefault="00662D09" w:rsidP="00CA60DB">
      <w:pPr>
        <w:ind w:left="567" w:right="645"/>
        <w:jc w:val="both"/>
        <w:rPr>
          <w:sz w:val="22"/>
          <w:szCs w:val="22"/>
        </w:rPr>
      </w:pPr>
      <w:r w:rsidRPr="00CA60DB">
        <w:rPr>
          <w:b/>
          <w:bCs/>
          <w:sz w:val="22"/>
          <w:szCs w:val="22"/>
        </w:rPr>
        <w:t>55. Public purpose</w:t>
      </w:r>
      <w:r w:rsidRPr="00CA60DB">
        <w:rPr>
          <w:sz w:val="22"/>
          <w:szCs w:val="22"/>
        </w:rPr>
        <w:t xml:space="preserve"> </w:t>
      </w:r>
    </w:p>
    <w:p w14:paraId="69AEFB8B" w14:textId="77777777" w:rsidR="00CA60DB" w:rsidRPr="00CA60DB" w:rsidRDefault="00662D09" w:rsidP="00CA60DB">
      <w:pPr>
        <w:ind w:left="567" w:right="645"/>
        <w:jc w:val="both"/>
        <w:rPr>
          <w:sz w:val="22"/>
          <w:szCs w:val="22"/>
        </w:rPr>
      </w:pPr>
      <w:r w:rsidRPr="00CA60DB">
        <w:rPr>
          <w:sz w:val="22"/>
          <w:szCs w:val="22"/>
        </w:rPr>
        <w:t>The provisions of</w:t>
      </w:r>
      <w:r w:rsidR="00CA60DB" w:rsidRPr="00CA60DB">
        <w:rPr>
          <w:sz w:val="22"/>
          <w:szCs w:val="22"/>
        </w:rPr>
        <w:t xml:space="preserve"> section 17(1) and section 19</w:t>
      </w:r>
      <w:r w:rsidRPr="00CA60DB">
        <w:rPr>
          <w:sz w:val="22"/>
          <w:szCs w:val="22"/>
        </w:rPr>
        <w:t xml:space="preserve"> do not apply if the person's conduct is –</w:t>
      </w:r>
      <w:bookmarkStart w:id="0" w:name="GS55@Hpa@EN"/>
      <w:bookmarkEnd w:id="0"/>
    </w:p>
    <w:p w14:paraId="02AA7DF4" w14:textId="77777777" w:rsidR="00CA60DB" w:rsidRPr="00CA60DB" w:rsidRDefault="00CA60DB" w:rsidP="00CA60DB">
      <w:pPr>
        <w:ind w:left="567" w:right="645"/>
        <w:jc w:val="both"/>
        <w:rPr>
          <w:b/>
          <w:bCs/>
          <w:sz w:val="22"/>
          <w:szCs w:val="22"/>
        </w:rPr>
      </w:pPr>
    </w:p>
    <w:p w14:paraId="588DCA47" w14:textId="4EA400B1" w:rsidR="00CA60DB" w:rsidRPr="00CA60DB" w:rsidRDefault="00CA60DB" w:rsidP="00CA60DB">
      <w:pPr>
        <w:ind w:left="567" w:right="645"/>
        <w:jc w:val="both"/>
        <w:rPr>
          <w:sz w:val="22"/>
          <w:szCs w:val="22"/>
        </w:rPr>
      </w:pPr>
      <w:bookmarkStart w:id="1" w:name="GS55@Hpc@EN"/>
      <w:bookmarkEnd w:id="1"/>
      <w:r w:rsidRPr="00CA60DB">
        <w:rPr>
          <w:b/>
          <w:bCs/>
          <w:sz w:val="22"/>
          <w:szCs w:val="22"/>
        </w:rPr>
        <w:t>…</w:t>
      </w:r>
    </w:p>
    <w:p w14:paraId="07A10DA4" w14:textId="77777777" w:rsidR="00CA60DB" w:rsidRPr="00CA60DB" w:rsidRDefault="00CA60DB" w:rsidP="00CA60DB">
      <w:pPr>
        <w:ind w:left="567" w:right="645"/>
        <w:jc w:val="both"/>
        <w:rPr>
          <w:b/>
          <w:bCs/>
          <w:sz w:val="22"/>
          <w:szCs w:val="22"/>
        </w:rPr>
      </w:pPr>
    </w:p>
    <w:p w14:paraId="13AB9093" w14:textId="77777777" w:rsidR="00CA60DB" w:rsidRPr="00CA60DB" w:rsidRDefault="00662D09" w:rsidP="00CA60DB">
      <w:pPr>
        <w:ind w:left="567" w:right="645"/>
        <w:jc w:val="both"/>
        <w:rPr>
          <w:sz w:val="22"/>
          <w:szCs w:val="22"/>
        </w:rPr>
      </w:pPr>
      <w:r w:rsidRPr="00CA60DB">
        <w:rPr>
          <w:b/>
          <w:bCs/>
          <w:sz w:val="22"/>
          <w:szCs w:val="22"/>
        </w:rPr>
        <w:t>(c)</w:t>
      </w:r>
      <w:r w:rsidRPr="00CA60DB">
        <w:rPr>
          <w:sz w:val="22"/>
          <w:szCs w:val="22"/>
        </w:rPr>
        <w:t xml:space="preserve"> </w:t>
      </w:r>
      <w:proofErr w:type="gramStart"/>
      <w:r w:rsidRPr="00CA60DB">
        <w:rPr>
          <w:sz w:val="22"/>
          <w:szCs w:val="22"/>
        </w:rPr>
        <w:t>a</w:t>
      </w:r>
      <w:proofErr w:type="gramEnd"/>
      <w:r w:rsidRPr="00CA60DB">
        <w:rPr>
          <w:sz w:val="22"/>
          <w:szCs w:val="22"/>
        </w:rPr>
        <w:t xml:space="preserve"> public act done in good faith for –</w:t>
      </w:r>
      <w:bookmarkStart w:id="2" w:name="GS55@Hpc@Hqi@EN"/>
      <w:bookmarkEnd w:id="2"/>
    </w:p>
    <w:p w14:paraId="48950ED1" w14:textId="77777777" w:rsidR="00CA60DB" w:rsidRPr="00CA60DB" w:rsidRDefault="00CA60DB" w:rsidP="00CA60DB">
      <w:pPr>
        <w:ind w:left="567" w:right="645"/>
        <w:jc w:val="both"/>
        <w:rPr>
          <w:b/>
          <w:bCs/>
          <w:sz w:val="22"/>
          <w:szCs w:val="22"/>
        </w:rPr>
      </w:pPr>
    </w:p>
    <w:p w14:paraId="53C95D68" w14:textId="77777777" w:rsidR="00CA60DB" w:rsidRPr="00CA60DB" w:rsidRDefault="00662D09" w:rsidP="00CA60DB">
      <w:pPr>
        <w:ind w:left="1287" w:right="645" w:firstLine="153"/>
        <w:jc w:val="both"/>
        <w:rPr>
          <w:sz w:val="22"/>
          <w:szCs w:val="22"/>
        </w:rPr>
      </w:pPr>
      <w:r w:rsidRPr="00CA60DB">
        <w:rPr>
          <w:b/>
          <w:bCs/>
          <w:sz w:val="22"/>
          <w:szCs w:val="22"/>
        </w:rPr>
        <w:t>(</w:t>
      </w:r>
      <w:proofErr w:type="spellStart"/>
      <w:r w:rsidRPr="00CA60DB">
        <w:rPr>
          <w:b/>
          <w:bCs/>
          <w:sz w:val="22"/>
          <w:szCs w:val="22"/>
        </w:rPr>
        <w:t>i</w:t>
      </w:r>
      <w:proofErr w:type="spellEnd"/>
      <w:r w:rsidRPr="00CA60DB">
        <w:rPr>
          <w:b/>
          <w:bCs/>
          <w:sz w:val="22"/>
          <w:szCs w:val="22"/>
        </w:rPr>
        <w:t>)</w:t>
      </w:r>
      <w:r w:rsidRPr="00CA60DB">
        <w:rPr>
          <w:sz w:val="22"/>
          <w:szCs w:val="22"/>
        </w:rPr>
        <w:t xml:space="preserve"> </w:t>
      </w:r>
      <w:proofErr w:type="gramStart"/>
      <w:r w:rsidRPr="00CA60DB">
        <w:rPr>
          <w:sz w:val="22"/>
          <w:szCs w:val="22"/>
        </w:rPr>
        <w:t>academic</w:t>
      </w:r>
      <w:proofErr w:type="gramEnd"/>
      <w:r w:rsidRPr="00CA60DB">
        <w:rPr>
          <w:sz w:val="22"/>
          <w:szCs w:val="22"/>
        </w:rPr>
        <w:t>, artistic, scientific or research purposes; or</w:t>
      </w:r>
      <w:bookmarkStart w:id="3" w:name="GS55@Hpc@Hqii@EN"/>
      <w:bookmarkEnd w:id="3"/>
    </w:p>
    <w:p w14:paraId="19663149" w14:textId="77777777" w:rsidR="00CA60DB" w:rsidRPr="00CA60DB" w:rsidRDefault="00CA60DB" w:rsidP="00CA60DB">
      <w:pPr>
        <w:ind w:left="567" w:right="645"/>
        <w:jc w:val="both"/>
        <w:rPr>
          <w:b/>
          <w:bCs/>
          <w:sz w:val="22"/>
          <w:szCs w:val="22"/>
        </w:rPr>
      </w:pPr>
    </w:p>
    <w:p w14:paraId="522A1866" w14:textId="6F113851" w:rsidR="00662D09" w:rsidRPr="00CA60DB" w:rsidRDefault="00662D09" w:rsidP="00CA60DB">
      <w:pPr>
        <w:ind w:left="1134" w:right="645" w:firstLine="306"/>
        <w:jc w:val="both"/>
        <w:rPr>
          <w:rFonts w:eastAsia="Times New Roman" w:cs="Times New Roman"/>
          <w:sz w:val="22"/>
          <w:szCs w:val="22"/>
        </w:rPr>
      </w:pPr>
      <w:r w:rsidRPr="00CA60DB">
        <w:rPr>
          <w:b/>
          <w:bCs/>
          <w:sz w:val="22"/>
          <w:szCs w:val="22"/>
        </w:rPr>
        <w:t>(ii)</w:t>
      </w:r>
      <w:r w:rsidRPr="00CA60DB">
        <w:rPr>
          <w:sz w:val="22"/>
          <w:szCs w:val="22"/>
        </w:rPr>
        <w:t xml:space="preserve"> </w:t>
      </w:r>
      <w:proofErr w:type="gramStart"/>
      <w:r w:rsidRPr="00CA60DB">
        <w:rPr>
          <w:sz w:val="22"/>
          <w:szCs w:val="22"/>
        </w:rPr>
        <w:t>any</w:t>
      </w:r>
      <w:proofErr w:type="gramEnd"/>
      <w:r w:rsidRPr="00CA60DB">
        <w:rPr>
          <w:sz w:val="22"/>
          <w:szCs w:val="22"/>
        </w:rPr>
        <w:t xml:space="preserve"> purpose in the public interest.</w:t>
      </w:r>
    </w:p>
    <w:p w14:paraId="31C85788" w14:textId="77777777" w:rsidR="00662D09" w:rsidRDefault="00662D09" w:rsidP="002E7BB4">
      <w:pPr>
        <w:ind w:right="-347"/>
        <w:jc w:val="both"/>
      </w:pPr>
    </w:p>
    <w:p w14:paraId="0F271A3B" w14:textId="2CC11BA7" w:rsidR="000A1B34" w:rsidRDefault="000A1B34" w:rsidP="000A1B34">
      <w:pPr>
        <w:ind w:right="-347"/>
        <w:jc w:val="both"/>
        <w:rPr>
          <w:rFonts w:eastAsia="Times New Roman" w:cs="Times New Roman"/>
        </w:rPr>
      </w:pPr>
      <w:r>
        <w:rPr>
          <w:rFonts w:eastAsia="Times New Roman" w:cs="Times New Roman"/>
        </w:rPr>
        <w:t xml:space="preserve">In weighing up the competing interests contained in the </w:t>
      </w:r>
      <w:proofErr w:type="spellStart"/>
      <w:r>
        <w:rPr>
          <w:rFonts w:eastAsia="Times New Roman" w:cs="Times New Roman"/>
        </w:rPr>
        <w:t>defence</w:t>
      </w:r>
      <w:proofErr w:type="spellEnd"/>
      <w:r>
        <w:rPr>
          <w:rFonts w:eastAsia="Times New Roman" w:cs="Times New Roman"/>
        </w:rPr>
        <w:t xml:space="preserve">, Tribunal Member </w:t>
      </w:r>
      <w:proofErr w:type="spellStart"/>
      <w:r>
        <w:rPr>
          <w:rFonts w:eastAsia="Times New Roman" w:cs="Times New Roman"/>
        </w:rPr>
        <w:t>Otlowski</w:t>
      </w:r>
      <w:proofErr w:type="spellEnd"/>
      <w:r>
        <w:rPr>
          <w:rFonts w:eastAsia="Times New Roman" w:cs="Times New Roman"/>
        </w:rPr>
        <w:t xml:space="preserve"> in the recent Tasmanian decision of </w:t>
      </w:r>
      <w:proofErr w:type="gramStart"/>
      <w:r w:rsidR="00B052BC" w:rsidRPr="00A16303">
        <w:rPr>
          <w:rFonts w:eastAsia="Times New Roman" w:cs="Times New Roman"/>
          <w:i/>
        </w:rPr>
        <w:t>Willia</w:t>
      </w:r>
      <w:r w:rsidR="00B052BC">
        <w:rPr>
          <w:rFonts w:eastAsia="Times New Roman" w:cs="Times New Roman"/>
          <w:i/>
        </w:rPr>
        <w:t>ms</w:t>
      </w:r>
      <w:proofErr w:type="gramEnd"/>
      <w:r w:rsidR="00B052BC">
        <w:rPr>
          <w:rFonts w:eastAsia="Times New Roman" w:cs="Times New Roman"/>
          <w:i/>
        </w:rPr>
        <w:t xml:space="preserve"> v </w:t>
      </w:r>
      <w:proofErr w:type="spellStart"/>
      <w:r w:rsidR="00B052BC">
        <w:rPr>
          <w:rFonts w:eastAsia="Times New Roman" w:cs="Times New Roman"/>
          <w:i/>
        </w:rPr>
        <w:t>Threewisemonkeys</w:t>
      </w:r>
      <w:proofErr w:type="spellEnd"/>
      <w:r w:rsidR="00B052BC">
        <w:rPr>
          <w:rFonts w:eastAsia="Times New Roman" w:cs="Times New Roman"/>
          <w:i/>
        </w:rPr>
        <w:t xml:space="preserve"> and </w:t>
      </w:r>
      <w:proofErr w:type="spellStart"/>
      <w:r w:rsidR="00B052BC">
        <w:rPr>
          <w:rFonts w:eastAsia="Times New Roman" w:cs="Times New Roman"/>
          <w:i/>
        </w:rPr>
        <w:t>Dursto</w:t>
      </w:r>
      <w:r w:rsidR="00B052BC" w:rsidRPr="00A16303">
        <w:rPr>
          <w:rFonts w:eastAsia="Times New Roman" w:cs="Times New Roman"/>
          <w:i/>
        </w:rPr>
        <w:t>n</w:t>
      </w:r>
      <w:proofErr w:type="spellEnd"/>
      <w:r w:rsidR="00B052BC">
        <w:rPr>
          <w:rFonts w:eastAsia="Times New Roman" w:cs="Times New Roman"/>
        </w:rPr>
        <w:t xml:space="preserve"> </w:t>
      </w:r>
      <w:r w:rsidR="000E24E6">
        <w:rPr>
          <w:rFonts w:eastAsia="Times New Roman" w:cs="Times New Roman"/>
        </w:rPr>
        <w:t>repeated</w:t>
      </w:r>
      <w:r>
        <w:rPr>
          <w:rFonts w:eastAsia="Times New Roman" w:cs="Times New Roman"/>
        </w:rPr>
        <w:t xml:space="preserve"> observations made in a number of other cases about the balancing act required:</w:t>
      </w:r>
      <w:r>
        <w:rPr>
          <w:rStyle w:val="FootnoteReference"/>
          <w:rFonts w:eastAsia="Times New Roman" w:cs="Times New Roman"/>
        </w:rPr>
        <w:footnoteReference w:id="3"/>
      </w:r>
      <w:r>
        <w:rPr>
          <w:rFonts w:eastAsia="Times New Roman" w:cs="Times New Roman"/>
          <w:i/>
        </w:rPr>
        <w:t xml:space="preserve"> </w:t>
      </w:r>
    </w:p>
    <w:p w14:paraId="6A2605D3" w14:textId="77777777" w:rsidR="000A1B34" w:rsidRDefault="000A1B34" w:rsidP="000A1B34">
      <w:pPr>
        <w:ind w:right="-347"/>
        <w:jc w:val="both"/>
        <w:rPr>
          <w:rFonts w:eastAsia="Times New Roman" w:cs="Times New Roman"/>
        </w:rPr>
      </w:pPr>
    </w:p>
    <w:p w14:paraId="4FBA58ED" w14:textId="77777777" w:rsidR="000A1B34" w:rsidRPr="00980EBF" w:rsidRDefault="000A1B34" w:rsidP="000A1B34">
      <w:pPr>
        <w:ind w:left="567" w:right="787"/>
        <w:jc w:val="both"/>
        <w:rPr>
          <w:rFonts w:eastAsia="Times New Roman" w:cs="Times New Roman"/>
          <w:sz w:val="22"/>
          <w:szCs w:val="22"/>
        </w:rPr>
      </w:pPr>
      <w:proofErr w:type="gramStart"/>
      <w:r w:rsidRPr="00980EBF">
        <w:rPr>
          <w:rFonts w:eastAsia="Times New Roman" w:cs="Times New Roman"/>
          <w:sz w:val="22"/>
          <w:szCs w:val="22"/>
        </w:rPr>
        <w:t>s55</w:t>
      </w:r>
      <w:proofErr w:type="gramEnd"/>
      <w:r w:rsidRPr="00980EBF">
        <w:rPr>
          <w:rFonts w:eastAsia="Times New Roman" w:cs="Times New Roman"/>
          <w:sz w:val="22"/>
          <w:szCs w:val="22"/>
        </w:rPr>
        <w:t>… reflects the compromise between the boundaries of inappropriate and unacceptable areas of public conduct and freedom of expression as a fundamental tenet of the common law.</w:t>
      </w:r>
    </w:p>
    <w:p w14:paraId="3AF25DCE" w14:textId="77777777" w:rsidR="000A1B34" w:rsidRDefault="000A1B34" w:rsidP="000A1B34">
      <w:pPr>
        <w:jc w:val="both"/>
      </w:pPr>
    </w:p>
    <w:p w14:paraId="47CF02A6" w14:textId="77777777" w:rsidR="005476EE" w:rsidRDefault="000A1B34" w:rsidP="000A1B34">
      <w:pPr>
        <w:ind w:right="-347"/>
        <w:jc w:val="both"/>
        <w:rPr>
          <w:rFonts w:eastAsia="Times New Roman" w:cs="Times New Roman"/>
        </w:rPr>
      </w:pPr>
      <w:r>
        <w:rPr>
          <w:rFonts w:eastAsia="Times New Roman" w:cs="Times New Roman"/>
        </w:rPr>
        <w:t>The tension between these boundaries has given rise to a large body of case law</w:t>
      </w:r>
      <w:r w:rsidR="005476EE">
        <w:rPr>
          <w:rFonts w:eastAsia="Times New Roman" w:cs="Times New Roman"/>
        </w:rPr>
        <w:t xml:space="preserve"> from which it is clear that conduct will be held to be in the public interest where:</w:t>
      </w:r>
    </w:p>
    <w:p w14:paraId="1B01A6D0" w14:textId="402D6F86" w:rsidR="000A1B34" w:rsidRDefault="000A1B34" w:rsidP="000A1B34">
      <w:pPr>
        <w:ind w:right="-347"/>
        <w:jc w:val="both"/>
        <w:rPr>
          <w:rFonts w:eastAsia="Times New Roman" w:cs="Times New Roman"/>
        </w:rPr>
      </w:pPr>
      <w:r>
        <w:rPr>
          <w:rFonts w:eastAsia="Times New Roman" w:cs="Times New Roman"/>
        </w:rPr>
        <w:t xml:space="preserve"> </w:t>
      </w:r>
    </w:p>
    <w:p w14:paraId="6F1AF14C" w14:textId="1F6F80D3" w:rsidR="000A1B34" w:rsidRPr="0040068F" w:rsidRDefault="000A1B34" w:rsidP="000A1B34">
      <w:pPr>
        <w:numPr>
          <w:ilvl w:val="0"/>
          <w:numId w:val="1"/>
        </w:numPr>
        <w:jc w:val="both"/>
      </w:pPr>
      <w:r w:rsidRPr="0040068F">
        <w:t xml:space="preserve">It </w:t>
      </w:r>
      <w:r>
        <w:t>is reasonable, by bearing a rational relationship to the activity;</w:t>
      </w:r>
      <w:r w:rsidR="00F84F48">
        <w:rPr>
          <w:rStyle w:val="FootnoteReference"/>
        </w:rPr>
        <w:footnoteReference w:id="4"/>
      </w:r>
      <w:r w:rsidRPr="0040068F">
        <w:t xml:space="preserve"> </w:t>
      </w:r>
    </w:p>
    <w:p w14:paraId="77A7D204" w14:textId="5F3FB885" w:rsidR="000A1B34" w:rsidRPr="00892E40" w:rsidRDefault="000A1B34" w:rsidP="000A1B34">
      <w:pPr>
        <w:numPr>
          <w:ilvl w:val="0"/>
          <w:numId w:val="1"/>
        </w:numPr>
        <w:jc w:val="both"/>
      </w:pPr>
      <w:r w:rsidRPr="00892E40">
        <w:t xml:space="preserve">It is not disproportionate to what is </w:t>
      </w:r>
      <w:r>
        <w:t>necessary to carry it out;</w:t>
      </w:r>
      <w:r w:rsidR="00F84F48">
        <w:rPr>
          <w:rStyle w:val="FootnoteReference"/>
        </w:rPr>
        <w:footnoteReference w:id="5"/>
      </w:r>
    </w:p>
    <w:p w14:paraId="7C30CDEC" w14:textId="0E7E1CFF" w:rsidR="000A1B34" w:rsidRPr="0040068F" w:rsidRDefault="000A1B34" w:rsidP="000A1B34">
      <w:pPr>
        <w:numPr>
          <w:ilvl w:val="0"/>
          <w:numId w:val="1"/>
        </w:numPr>
        <w:jc w:val="both"/>
      </w:pPr>
      <w:r>
        <w:t>There is good faith – i.e. a belief that the act is necessary or desirable;</w:t>
      </w:r>
      <w:r w:rsidR="00F84F48">
        <w:rPr>
          <w:rStyle w:val="FootnoteReference"/>
        </w:rPr>
        <w:footnoteReference w:id="6"/>
      </w:r>
      <w:r>
        <w:t xml:space="preserve"> and</w:t>
      </w:r>
    </w:p>
    <w:p w14:paraId="7758DB48" w14:textId="6B938664" w:rsidR="000A1B34" w:rsidRPr="0040068F" w:rsidRDefault="000A1B34" w:rsidP="000A1B34">
      <w:pPr>
        <w:numPr>
          <w:ilvl w:val="0"/>
          <w:numId w:val="1"/>
        </w:numPr>
        <w:jc w:val="both"/>
      </w:pPr>
      <w:r w:rsidRPr="0040068F">
        <w:t>It relates to a public act</w:t>
      </w:r>
      <w:r>
        <w:t>.</w:t>
      </w:r>
      <w:r w:rsidR="00B24F47">
        <w:rPr>
          <w:rStyle w:val="FootnoteReference"/>
        </w:rPr>
        <w:footnoteReference w:id="7"/>
      </w:r>
    </w:p>
    <w:p w14:paraId="711465B7" w14:textId="77777777" w:rsidR="00A74B28" w:rsidRDefault="00A74B28" w:rsidP="003201E0">
      <w:pPr>
        <w:ind w:right="-347"/>
        <w:jc w:val="both"/>
        <w:rPr>
          <w:rFonts w:eastAsia="Times New Roman" w:cs="Times New Roman"/>
        </w:rPr>
      </w:pPr>
    </w:p>
    <w:p w14:paraId="2344817B" w14:textId="0216C670" w:rsidR="00A74B28" w:rsidRPr="00572C0F" w:rsidRDefault="00A74B28" w:rsidP="003201E0">
      <w:pPr>
        <w:ind w:right="-347"/>
        <w:jc w:val="both"/>
        <w:rPr>
          <w:rFonts w:eastAsia="Times New Roman" w:cs="Times New Roman"/>
        </w:rPr>
      </w:pPr>
      <w:r>
        <w:rPr>
          <w:rFonts w:eastAsia="Times New Roman" w:cs="Times New Roman"/>
        </w:rPr>
        <w:t>One of the more contestable elements of the above test</w:t>
      </w:r>
      <w:r w:rsidR="0004444D">
        <w:rPr>
          <w:rFonts w:eastAsia="Times New Roman" w:cs="Times New Roman"/>
        </w:rPr>
        <w:t xml:space="preserve"> is whether the conduct amounts to an action ‘in good faith’. In </w:t>
      </w:r>
      <w:proofErr w:type="spellStart"/>
      <w:r w:rsidR="0004444D">
        <w:rPr>
          <w:rFonts w:eastAsia="Times New Roman" w:cs="Times New Roman"/>
          <w:bCs/>
          <w:i/>
        </w:rPr>
        <w:t>Bropho</w:t>
      </w:r>
      <w:proofErr w:type="spellEnd"/>
      <w:r w:rsidR="0004444D">
        <w:rPr>
          <w:rFonts w:eastAsia="Times New Roman" w:cs="Times New Roman"/>
          <w:bCs/>
          <w:i/>
        </w:rPr>
        <w:t xml:space="preserve"> v Human Rights and</w:t>
      </w:r>
      <w:r w:rsidR="0004444D" w:rsidRPr="0004444D">
        <w:rPr>
          <w:rFonts w:eastAsia="Times New Roman" w:cs="Times New Roman"/>
          <w:bCs/>
          <w:i/>
        </w:rPr>
        <w:t xml:space="preserve"> Equal Opportunity Commission</w:t>
      </w:r>
      <w:r w:rsidR="00F13C24">
        <w:rPr>
          <w:rFonts w:eastAsia="Times New Roman" w:cs="Times New Roman"/>
          <w:bCs/>
          <w:i/>
        </w:rPr>
        <w:t>,</w:t>
      </w:r>
      <w:r w:rsidR="0004444D">
        <w:rPr>
          <w:rStyle w:val="FootnoteReference"/>
          <w:rFonts w:eastAsia="Times New Roman" w:cs="Times New Roman"/>
          <w:bCs/>
        </w:rPr>
        <w:footnoteReference w:id="8"/>
      </w:r>
      <w:r w:rsidR="0004444D">
        <w:rPr>
          <w:rFonts w:eastAsia="Times New Roman" w:cs="Times New Roman"/>
          <w:bCs/>
        </w:rPr>
        <w:t xml:space="preserve"> the Federal Court of Australia held that good faith will be established “</w:t>
      </w:r>
      <w:r w:rsidR="0004444D" w:rsidRPr="0040068F">
        <w:t>if it is shown that the defendant engaged in the conduct with the subjectively honest belief that it was necessary or desirable to achieve the genuine religious purpose”</w:t>
      </w:r>
      <w:r w:rsidR="0004444D">
        <w:t>.</w:t>
      </w:r>
      <w:r w:rsidR="0004444D">
        <w:rPr>
          <w:rStyle w:val="FootnoteReference"/>
        </w:rPr>
        <w:footnoteReference w:id="9"/>
      </w:r>
      <w:r w:rsidR="00572C0F">
        <w:rPr>
          <w:rFonts w:eastAsia="Times New Roman" w:cs="Times New Roman"/>
        </w:rPr>
        <w:t xml:space="preserve"> </w:t>
      </w:r>
      <w:r>
        <w:t>However, t</w:t>
      </w:r>
      <w:r w:rsidR="0004444D">
        <w:t xml:space="preserve">he question </w:t>
      </w:r>
      <w:r>
        <w:t xml:space="preserve">of </w:t>
      </w:r>
      <w:r w:rsidR="0004444D">
        <w:t>whether a person’s genuine religious belief makes it necessary for them to discriminate m</w:t>
      </w:r>
      <w:r>
        <w:t>ust be determined objectively</w:t>
      </w:r>
      <w:r w:rsidR="00F13C24">
        <w:t>,</w:t>
      </w:r>
      <w:r>
        <w:t xml:space="preserve"> as </w:t>
      </w:r>
      <w:proofErr w:type="spellStart"/>
      <w:r w:rsidR="00572C0F">
        <w:t>Neave</w:t>
      </w:r>
      <w:proofErr w:type="spellEnd"/>
      <w:r>
        <w:t xml:space="preserve"> J</w:t>
      </w:r>
      <w:r w:rsidR="00572C0F">
        <w:t>A</w:t>
      </w:r>
      <w:r>
        <w:t xml:space="preserve"> </w:t>
      </w:r>
      <w:r w:rsidR="000E24E6">
        <w:t xml:space="preserve">observed </w:t>
      </w:r>
      <w:r>
        <w:t xml:space="preserve">in the Supreme Court of Victoria Court of Appeal decision of </w:t>
      </w:r>
      <w:r w:rsidR="00572C0F" w:rsidRPr="00572C0F">
        <w:rPr>
          <w:i/>
        </w:rPr>
        <w:t xml:space="preserve">Christian Youth Camps Ltd v </w:t>
      </w:r>
      <w:proofErr w:type="spellStart"/>
      <w:r w:rsidR="00572C0F" w:rsidRPr="00572C0F">
        <w:rPr>
          <w:i/>
        </w:rPr>
        <w:t>Cobaw</w:t>
      </w:r>
      <w:proofErr w:type="spellEnd"/>
      <w:r w:rsidR="00572C0F" w:rsidRPr="00572C0F">
        <w:rPr>
          <w:i/>
        </w:rPr>
        <w:t xml:space="preserve"> Community Health Services Ltd</w:t>
      </w:r>
      <w:r>
        <w:t>:</w:t>
      </w:r>
      <w:r>
        <w:rPr>
          <w:rStyle w:val="FootnoteReference"/>
        </w:rPr>
        <w:footnoteReference w:id="10"/>
      </w:r>
    </w:p>
    <w:p w14:paraId="1BCFE764" w14:textId="77777777" w:rsidR="00A74B28" w:rsidRDefault="00A74B28" w:rsidP="003201E0">
      <w:pPr>
        <w:ind w:right="-347"/>
        <w:jc w:val="both"/>
      </w:pPr>
    </w:p>
    <w:p w14:paraId="12428F26" w14:textId="2C0B8958" w:rsidR="0004444D" w:rsidRPr="00572C0F" w:rsidRDefault="0004444D" w:rsidP="00572C0F">
      <w:pPr>
        <w:ind w:left="567" w:right="787"/>
        <w:jc w:val="both"/>
        <w:rPr>
          <w:sz w:val="22"/>
          <w:szCs w:val="22"/>
        </w:rPr>
      </w:pPr>
      <w:r w:rsidRPr="00572C0F">
        <w:rPr>
          <w:sz w:val="22"/>
          <w:szCs w:val="22"/>
        </w:rPr>
        <w:t>If necessity were determined subjectively, genuinely held religious beliefs would always trump the right of individuals to be free from discriminatio</w:t>
      </w:r>
      <w:r w:rsidR="00A74B28" w:rsidRPr="00572C0F">
        <w:rPr>
          <w:sz w:val="22"/>
          <w:szCs w:val="22"/>
        </w:rPr>
        <w:t>n on prohibited grounds</w:t>
      </w:r>
      <w:r w:rsidRPr="00572C0F">
        <w:rPr>
          <w:sz w:val="22"/>
          <w:szCs w:val="22"/>
        </w:rPr>
        <w:t xml:space="preserve">. </w:t>
      </w:r>
    </w:p>
    <w:p w14:paraId="197289A8" w14:textId="77777777" w:rsidR="00204A82" w:rsidRDefault="00204A82" w:rsidP="003201E0">
      <w:pPr>
        <w:ind w:right="-347"/>
        <w:jc w:val="both"/>
      </w:pPr>
    </w:p>
    <w:p w14:paraId="6400F887" w14:textId="224FAD1A" w:rsidR="005476EE" w:rsidRDefault="005476EE" w:rsidP="002E7BB4">
      <w:pPr>
        <w:ind w:right="-347"/>
        <w:jc w:val="both"/>
        <w:rPr>
          <w:rFonts w:eastAsia="Times New Roman" w:cs="Times New Roman"/>
        </w:rPr>
      </w:pPr>
      <w:r>
        <w:rPr>
          <w:rFonts w:eastAsia="Times New Roman" w:cs="Times New Roman"/>
        </w:rPr>
        <w:t xml:space="preserve">A recent example of the application of these principles was Tribunal Member </w:t>
      </w:r>
      <w:proofErr w:type="spellStart"/>
      <w:r>
        <w:rPr>
          <w:rFonts w:eastAsia="Times New Roman" w:cs="Times New Roman"/>
        </w:rPr>
        <w:t>Otlow</w:t>
      </w:r>
      <w:r w:rsidR="00737AB5">
        <w:rPr>
          <w:rFonts w:eastAsia="Times New Roman" w:cs="Times New Roman"/>
        </w:rPr>
        <w:t>s</w:t>
      </w:r>
      <w:r>
        <w:rPr>
          <w:rFonts w:eastAsia="Times New Roman" w:cs="Times New Roman"/>
        </w:rPr>
        <w:t>ki’s</w:t>
      </w:r>
      <w:proofErr w:type="spellEnd"/>
      <w:r>
        <w:rPr>
          <w:rFonts w:eastAsia="Times New Roman" w:cs="Times New Roman"/>
        </w:rPr>
        <w:t xml:space="preserve"> decision in</w:t>
      </w:r>
      <w:r w:rsidR="006D7A8A" w:rsidRPr="006D7A8A">
        <w:rPr>
          <w:rFonts w:eastAsia="Times New Roman" w:cs="Times New Roman"/>
          <w:i/>
        </w:rPr>
        <w:t xml:space="preserve"> </w:t>
      </w:r>
      <w:proofErr w:type="gramStart"/>
      <w:r w:rsidR="006D7A8A" w:rsidRPr="00A16303">
        <w:rPr>
          <w:rFonts w:eastAsia="Times New Roman" w:cs="Times New Roman"/>
          <w:i/>
        </w:rPr>
        <w:t>Willia</w:t>
      </w:r>
      <w:r w:rsidR="006D7A8A">
        <w:rPr>
          <w:rFonts w:eastAsia="Times New Roman" w:cs="Times New Roman"/>
          <w:i/>
        </w:rPr>
        <w:t>ms</w:t>
      </w:r>
      <w:proofErr w:type="gramEnd"/>
      <w:r w:rsidR="006D7A8A">
        <w:rPr>
          <w:rFonts w:eastAsia="Times New Roman" w:cs="Times New Roman"/>
          <w:i/>
        </w:rPr>
        <w:t xml:space="preserve"> v </w:t>
      </w:r>
      <w:proofErr w:type="spellStart"/>
      <w:r w:rsidR="006D7A8A">
        <w:rPr>
          <w:rFonts w:eastAsia="Times New Roman" w:cs="Times New Roman"/>
          <w:i/>
        </w:rPr>
        <w:t>Threewisemonkeys</w:t>
      </w:r>
      <w:proofErr w:type="spellEnd"/>
      <w:r w:rsidR="006D7A8A">
        <w:rPr>
          <w:rFonts w:eastAsia="Times New Roman" w:cs="Times New Roman"/>
          <w:i/>
        </w:rPr>
        <w:t xml:space="preserve"> and </w:t>
      </w:r>
      <w:proofErr w:type="spellStart"/>
      <w:r w:rsidR="006D7A8A">
        <w:rPr>
          <w:rFonts w:eastAsia="Times New Roman" w:cs="Times New Roman"/>
          <w:i/>
        </w:rPr>
        <w:t>Dursto</w:t>
      </w:r>
      <w:r w:rsidR="006D7A8A" w:rsidRPr="00A16303">
        <w:rPr>
          <w:rFonts w:eastAsia="Times New Roman" w:cs="Times New Roman"/>
          <w:i/>
        </w:rPr>
        <w:t>n</w:t>
      </w:r>
      <w:proofErr w:type="spellEnd"/>
      <w:r w:rsidR="006D7A8A">
        <w:rPr>
          <w:rStyle w:val="FootnoteReference"/>
          <w:rFonts w:eastAsia="Times New Roman" w:cs="Times New Roman"/>
        </w:rPr>
        <w:t xml:space="preserve"> </w:t>
      </w:r>
      <w:r w:rsidR="00C731F0">
        <w:rPr>
          <w:rStyle w:val="FootnoteReference"/>
          <w:rFonts w:eastAsia="Times New Roman" w:cs="Times New Roman"/>
        </w:rPr>
        <w:footnoteReference w:id="11"/>
      </w:r>
      <w:r w:rsidR="00C731F0">
        <w:rPr>
          <w:rFonts w:eastAsia="Times New Roman" w:cs="Times New Roman"/>
          <w:i/>
        </w:rPr>
        <w:t xml:space="preserve"> </w:t>
      </w:r>
      <w:r w:rsidR="001171D3">
        <w:rPr>
          <w:rFonts w:eastAsia="Times New Roman" w:cs="Times New Roman"/>
        </w:rPr>
        <w:t>in which a</w:t>
      </w:r>
      <w:r w:rsidR="00C731F0">
        <w:rPr>
          <w:rFonts w:eastAsia="Times New Roman" w:cs="Times New Roman"/>
        </w:rPr>
        <w:t xml:space="preserve"> gay man filed a complaint in relation to a pamphlet entitled ‘Homosexuality Stats’ that was published </w:t>
      </w:r>
      <w:r w:rsidR="001171D3">
        <w:rPr>
          <w:rFonts w:eastAsia="Times New Roman" w:cs="Times New Roman"/>
        </w:rPr>
        <w:t xml:space="preserve">and </w:t>
      </w:r>
      <w:r w:rsidR="00C731F0">
        <w:rPr>
          <w:rFonts w:eastAsia="Times New Roman" w:cs="Times New Roman"/>
        </w:rPr>
        <w:t>distributed to more than 3000 households in Hobart in 2013. The pamphlet stated that ‘homosexuality should not be tolerated’ and that ‘Scripture rejects homosexuality as utterly abominable’ and set out alleged statistics on lifespan expectations and causes of death for gay men and lesbians compared to heterosexual men and women.</w:t>
      </w:r>
      <w:r w:rsidR="00B052BC">
        <w:rPr>
          <w:rFonts w:eastAsia="Times New Roman" w:cs="Times New Roman"/>
        </w:rPr>
        <w:t xml:space="preserve"> The statistic</w:t>
      </w:r>
      <w:r w:rsidR="00F13C24">
        <w:rPr>
          <w:rFonts w:eastAsia="Times New Roman" w:cs="Times New Roman"/>
        </w:rPr>
        <w:t>s stated that that homosexual me</w:t>
      </w:r>
      <w:r w:rsidR="00B052BC">
        <w:rPr>
          <w:rFonts w:eastAsia="Times New Roman" w:cs="Times New Roman"/>
        </w:rPr>
        <w:t>n without AIDs will live to 42, and lesbian women will live to 43</w:t>
      </w:r>
      <w:r w:rsidR="00F13C24">
        <w:rPr>
          <w:rFonts w:eastAsia="Times New Roman" w:cs="Times New Roman"/>
        </w:rPr>
        <w:t>,</w:t>
      </w:r>
      <w:r w:rsidR="00B052BC">
        <w:rPr>
          <w:rFonts w:eastAsia="Times New Roman" w:cs="Times New Roman"/>
        </w:rPr>
        <w:t xml:space="preserve"> in comparison to their heterosexual counterparts who live into their 70s.</w:t>
      </w:r>
      <w:r>
        <w:rPr>
          <w:rFonts w:eastAsia="Times New Roman" w:cs="Times New Roman"/>
        </w:rPr>
        <w:t xml:space="preserve"> </w:t>
      </w:r>
    </w:p>
    <w:p w14:paraId="2330C9D6" w14:textId="77777777" w:rsidR="005476EE" w:rsidRDefault="005476EE" w:rsidP="002E7BB4">
      <w:pPr>
        <w:ind w:right="-347"/>
        <w:jc w:val="both"/>
        <w:rPr>
          <w:rFonts w:eastAsia="Times New Roman" w:cs="Times New Roman"/>
        </w:rPr>
      </w:pPr>
    </w:p>
    <w:p w14:paraId="49F2241E" w14:textId="0DC2252F" w:rsidR="001171D3" w:rsidRDefault="00041966" w:rsidP="002E7BB4">
      <w:pPr>
        <w:ind w:right="-347"/>
        <w:jc w:val="both"/>
      </w:pPr>
      <w:r>
        <w:t xml:space="preserve">In her decision Tribunal Member </w:t>
      </w:r>
      <w:proofErr w:type="spellStart"/>
      <w:r>
        <w:t>Otlowski</w:t>
      </w:r>
      <w:proofErr w:type="spellEnd"/>
      <w:r>
        <w:t xml:space="preserve"> found </w:t>
      </w:r>
      <w:r w:rsidR="001171D3">
        <w:t>that</w:t>
      </w:r>
      <w:r w:rsidR="00B54B9F">
        <w:t>,</w:t>
      </w:r>
      <w:r w:rsidR="001171D3">
        <w:t xml:space="preserve"> despite the public purpose </w:t>
      </w:r>
      <w:proofErr w:type="spellStart"/>
      <w:r w:rsidR="001171D3">
        <w:t>defence</w:t>
      </w:r>
      <w:proofErr w:type="spellEnd"/>
      <w:r w:rsidR="001171D3">
        <w:t xml:space="preserve"> and the </w:t>
      </w:r>
      <w:r w:rsidR="00240AED">
        <w:t>Australian Constitution’</w:t>
      </w:r>
      <w:r w:rsidR="001171D3">
        <w:t>s</w:t>
      </w:r>
      <w:r w:rsidR="00240AED">
        <w:t xml:space="preserve"> right to freedom of religio</w:t>
      </w:r>
      <w:r w:rsidR="00980EBF">
        <w:t>n</w:t>
      </w:r>
      <w:r w:rsidR="00B54B9F">
        <w:t>,</w:t>
      </w:r>
      <w:r w:rsidR="00240AED">
        <w:rPr>
          <w:rStyle w:val="FootnoteReference"/>
        </w:rPr>
        <w:footnoteReference w:id="12"/>
      </w:r>
      <w:r w:rsidR="001171D3">
        <w:t xml:space="preserve"> the publishing and distributing of the pamphlet was prohibited conduct that amounted to </w:t>
      </w:r>
      <w:r w:rsidR="002575DE">
        <w:t>a breach</w:t>
      </w:r>
      <w:r w:rsidR="001171D3">
        <w:t xml:space="preserve"> of </w:t>
      </w:r>
      <w:r w:rsidR="002575DE">
        <w:t>section</w:t>
      </w:r>
      <w:r w:rsidR="00AB4978">
        <w:t>s</w:t>
      </w:r>
      <w:r w:rsidR="002575DE">
        <w:t xml:space="preserve"> 17(1) </w:t>
      </w:r>
      <w:r w:rsidR="00AB4978">
        <w:t xml:space="preserve">and 19 </w:t>
      </w:r>
      <w:r w:rsidR="002575DE">
        <w:t xml:space="preserve">of </w:t>
      </w:r>
      <w:r w:rsidR="001171D3">
        <w:t xml:space="preserve">the </w:t>
      </w:r>
      <w:r w:rsidR="002575DE" w:rsidRPr="002575DE">
        <w:t>Act</w:t>
      </w:r>
      <w:r w:rsidR="001171D3" w:rsidRPr="002575DE">
        <w:t>.</w:t>
      </w:r>
      <w:r w:rsidR="00B052BC">
        <w:t xml:space="preserve"> This was because the statistics ‘clearly could not be substantiated’ and incited hatred because the pamphlets intention is ‘</w:t>
      </w:r>
      <w:r w:rsidR="00B052BC">
        <w:rPr>
          <w:rFonts w:eastAsia="Times New Roman" w:cs="Times New Roman"/>
        </w:rPr>
        <w:t>to warn people away from homosexuality which… is rejected by the Scriptures as “utterly abominable”’.</w:t>
      </w:r>
      <w:r w:rsidR="00B052BC">
        <w:rPr>
          <w:rStyle w:val="FootnoteReference"/>
          <w:rFonts w:eastAsia="Times New Roman" w:cs="Times New Roman"/>
        </w:rPr>
        <w:footnoteReference w:id="13"/>
      </w:r>
    </w:p>
    <w:p w14:paraId="3285F9D9" w14:textId="77777777" w:rsidR="00056C94" w:rsidRDefault="00056C94" w:rsidP="002E7BB4">
      <w:pPr>
        <w:ind w:right="-347"/>
        <w:jc w:val="both"/>
      </w:pPr>
    </w:p>
    <w:p w14:paraId="4ED3C38D" w14:textId="15374EE7" w:rsidR="000D0437" w:rsidRDefault="006D7A8A" w:rsidP="002E7BB4">
      <w:pPr>
        <w:ind w:right="-347"/>
        <w:jc w:val="both"/>
      </w:pPr>
      <w:r>
        <w:t xml:space="preserve">The decision in </w:t>
      </w:r>
      <w:r w:rsidRPr="00A16303">
        <w:rPr>
          <w:rFonts w:eastAsia="Times New Roman" w:cs="Times New Roman"/>
          <w:i/>
        </w:rPr>
        <w:t>Willia</w:t>
      </w:r>
      <w:r>
        <w:rPr>
          <w:rFonts w:eastAsia="Times New Roman" w:cs="Times New Roman"/>
          <w:i/>
        </w:rPr>
        <w:t xml:space="preserve">ms v </w:t>
      </w:r>
      <w:proofErr w:type="spellStart"/>
      <w:r>
        <w:rPr>
          <w:rFonts w:eastAsia="Times New Roman" w:cs="Times New Roman"/>
          <w:i/>
        </w:rPr>
        <w:t>Threewisemonkeys</w:t>
      </w:r>
      <w:proofErr w:type="spellEnd"/>
      <w:r>
        <w:rPr>
          <w:rFonts w:eastAsia="Times New Roman" w:cs="Times New Roman"/>
          <w:i/>
        </w:rPr>
        <w:t xml:space="preserve"> and </w:t>
      </w:r>
      <w:proofErr w:type="spellStart"/>
      <w:r>
        <w:rPr>
          <w:rFonts w:eastAsia="Times New Roman" w:cs="Times New Roman"/>
          <w:i/>
        </w:rPr>
        <w:t>Dursto</w:t>
      </w:r>
      <w:r w:rsidRPr="00A16303">
        <w:rPr>
          <w:rFonts w:eastAsia="Times New Roman" w:cs="Times New Roman"/>
          <w:i/>
        </w:rPr>
        <w:t>n</w:t>
      </w:r>
      <w:proofErr w:type="spellEnd"/>
      <w:r>
        <w:t xml:space="preserve"> and similar cases decided by Tasmania’s Anti-Discrimination Tribunal provide no cause for concern that </w:t>
      </w:r>
      <w:r w:rsidR="000D0437">
        <w:t>persons with a religious purpose</w:t>
      </w:r>
      <w:r>
        <w:t xml:space="preserve"> </w:t>
      </w:r>
      <w:r w:rsidR="000D0437">
        <w:t xml:space="preserve">armed with the facts rather than unsubstantiated assertions </w:t>
      </w:r>
      <w:r>
        <w:t xml:space="preserve">will not be able to speak freely during the proposed plebiscite. </w:t>
      </w:r>
    </w:p>
    <w:p w14:paraId="23A19C13" w14:textId="77777777" w:rsidR="00EF185E" w:rsidRDefault="00EF185E" w:rsidP="002E7BB4">
      <w:pPr>
        <w:ind w:right="-347"/>
        <w:jc w:val="both"/>
      </w:pPr>
    </w:p>
    <w:p w14:paraId="0DAFC15E" w14:textId="5932AB4E" w:rsidR="00147D84" w:rsidRDefault="00EF185E" w:rsidP="00EF185E">
      <w:pPr>
        <w:ind w:right="-347"/>
        <w:jc w:val="both"/>
      </w:pPr>
      <w:r>
        <w:t xml:space="preserve">As well as the </w:t>
      </w:r>
      <w:proofErr w:type="spellStart"/>
      <w:r>
        <w:t>defences</w:t>
      </w:r>
      <w:proofErr w:type="spellEnd"/>
      <w:r>
        <w:t xml:space="preserve"> available under the Act, there is also the implied constitutional freedom of political communication</w:t>
      </w:r>
      <w:r w:rsidR="00256B7A">
        <w:t>, which</w:t>
      </w:r>
      <w:r>
        <w:t xml:space="preserve"> </w:t>
      </w:r>
      <w:r w:rsidRPr="0040068F">
        <w:t xml:space="preserve">has been </w:t>
      </w:r>
      <w:proofErr w:type="spellStart"/>
      <w:r w:rsidRPr="0040068F">
        <w:t>recognised</w:t>
      </w:r>
      <w:proofErr w:type="spellEnd"/>
      <w:r w:rsidRPr="0040068F">
        <w:t xml:space="preserve"> as </w:t>
      </w:r>
      <w:r>
        <w:t>including the</w:t>
      </w:r>
      <w:r w:rsidRPr="0040068F">
        <w:t xml:space="preserve"> expression of </w:t>
      </w:r>
      <w:r>
        <w:t xml:space="preserve">an </w:t>
      </w:r>
      <w:r w:rsidRPr="0040068F">
        <w:t>opinion relating to the debate on human sexuality.</w:t>
      </w:r>
      <w:r w:rsidR="00147D84">
        <w:t xml:space="preserve"> Important</w:t>
      </w:r>
      <w:r w:rsidR="0050058B">
        <w:t xml:space="preserve">ly, </w:t>
      </w:r>
      <w:proofErr w:type="spellStart"/>
      <w:r w:rsidR="0050058B">
        <w:t>defences</w:t>
      </w:r>
      <w:proofErr w:type="spellEnd"/>
      <w:r w:rsidR="006547ED">
        <w:t xml:space="preserve"> often relied on in an</w:t>
      </w:r>
      <w:r w:rsidR="00147D84">
        <w:t xml:space="preserve"> anti-discrimination setting including ‘in good faith’ and ‘in the </w:t>
      </w:r>
      <w:r w:rsidR="00B54B9F">
        <w:t xml:space="preserve">public interest’ should </w:t>
      </w:r>
      <w:proofErr w:type="spellStart"/>
      <w:r w:rsidR="00B54B9F">
        <w:t>recognis</w:t>
      </w:r>
      <w:r w:rsidR="00147D84">
        <w:t>e</w:t>
      </w:r>
      <w:proofErr w:type="spellEnd"/>
      <w:r w:rsidR="00147D84">
        <w:t xml:space="preserve"> the freedom</w:t>
      </w:r>
      <w:r w:rsidR="00B54B9F">
        <w:t>,</w:t>
      </w:r>
      <w:r w:rsidR="00147D84">
        <w:t xml:space="preserve"> as </w:t>
      </w:r>
      <w:proofErr w:type="spellStart"/>
      <w:r w:rsidR="00147D84" w:rsidRPr="00147D84">
        <w:t>Allsop</w:t>
      </w:r>
      <w:proofErr w:type="spellEnd"/>
      <w:r w:rsidR="00147D84" w:rsidRPr="00147D84">
        <w:t xml:space="preserve"> P observed in the New South Court of Appeal decision of </w:t>
      </w:r>
      <w:proofErr w:type="spellStart"/>
      <w:r w:rsidR="00147D84" w:rsidRPr="00147D84">
        <w:rPr>
          <w:i/>
        </w:rPr>
        <w:t>Sunol</w:t>
      </w:r>
      <w:proofErr w:type="spellEnd"/>
      <w:r w:rsidR="00147D84" w:rsidRPr="00147D84">
        <w:rPr>
          <w:i/>
        </w:rPr>
        <w:t xml:space="preserve"> v Collier (No 2)</w:t>
      </w:r>
      <w:r w:rsidR="00147D84">
        <w:rPr>
          <w:i/>
        </w:rPr>
        <w:t>:</w:t>
      </w:r>
      <w:r w:rsidR="006547ED" w:rsidRPr="006547ED">
        <w:rPr>
          <w:rStyle w:val="FootnoteReference"/>
        </w:rPr>
        <w:t xml:space="preserve"> </w:t>
      </w:r>
      <w:r w:rsidR="006547ED">
        <w:rPr>
          <w:rStyle w:val="FootnoteReference"/>
        </w:rPr>
        <w:footnoteReference w:id="14"/>
      </w:r>
      <w:r w:rsidR="00147D84" w:rsidRPr="00423C6E">
        <w:rPr>
          <w:i/>
          <w:sz w:val="20"/>
          <w:szCs w:val="20"/>
        </w:rPr>
        <w:t xml:space="preserve"> </w:t>
      </w:r>
      <w:r w:rsidR="00147D84">
        <w:t xml:space="preserve"> </w:t>
      </w:r>
    </w:p>
    <w:p w14:paraId="7494DAF9" w14:textId="77777777" w:rsidR="00147D84" w:rsidRDefault="00147D84" w:rsidP="00EF185E">
      <w:pPr>
        <w:ind w:right="-347"/>
        <w:jc w:val="both"/>
      </w:pPr>
    </w:p>
    <w:p w14:paraId="22BD131B" w14:textId="77777777" w:rsidR="00147D84" w:rsidRPr="00FC43F0" w:rsidRDefault="00147D84" w:rsidP="00FC43F0">
      <w:pPr>
        <w:ind w:left="567" w:right="787"/>
        <w:jc w:val="both"/>
        <w:rPr>
          <w:rFonts w:eastAsia="Times New Roman" w:cs="Times New Roman"/>
          <w:sz w:val="22"/>
          <w:szCs w:val="22"/>
          <w:lang w:val="en-AU"/>
        </w:rPr>
      </w:pPr>
      <w:r w:rsidRPr="00FC43F0">
        <w:rPr>
          <w:rFonts w:eastAsia="Times New Roman" w:cs="Times New Roman"/>
          <w:sz w:val="22"/>
          <w:szCs w:val="22"/>
          <w:lang w:val="en-AU"/>
        </w:rPr>
        <w:t>The recognition of the implied Constitutional freedom does mean, however, that the words "reasonably", "in good faith" and "other purposes in the public interest" should take into account the important Constitutional freedom to discuss matters of wide public interest that may be related to political and governmental matters.</w:t>
      </w:r>
    </w:p>
    <w:p w14:paraId="7A9FA68C" w14:textId="77777777" w:rsidR="00147D84" w:rsidRPr="00FC43F0" w:rsidRDefault="00147D84" w:rsidP="00FC43F0">
      <w:pPr>
        <w:ind w:left="567" w:right="787"/>
        <w:jc w:val="both"/>
        <w:rPr>
          <w:rFonts w:eastAsia="Times New Roman" w:cs="Times New Roman"/>
          <w:sz w:val="22"/>
          <w:szCs w:val="22"/>
          <w:lang w:val="en-AU"/>
        </w:rPr>
      </w:pPr>
    </w:p>
    <w:p w14:paraId="5F942302" w14:textId="4A92BE69" w:rsidR="00147D84" w:rsidRPr="00FC43F0" w:rsidRDefault="00147D84" w:rsidP="00FC43F0">
      <w:pPr>
        <w:ind w:left="567" w:right="787"/>
        <w:jc w:val="both"/>
        <w:rPr>
          <w:rFonts w:eastAsia="Times New Roman" w:cs="Times New Roman"/>
          <w:sz w:val="22"/>
          <w:szCs w:val="22"/>
          <w:lang w:val="en-AU"/>
        </w:rPr>
      </w:pPr>
      <w:r w:rsidRPr="00FC43F0">
        <w:rPr>
          <w:rFonts w:eastAsia="Times New Roman" w:cs="Times New Roman"/>
          <w:sz w:val="22"/>
          <w:szCs w:val="22"/>
          <w:lang w:val="en-AU"/>
        </w:rPr>
        <w:t>One of those subject matters for discussion in our society, potentially affecting the workings of the Commonwealth Parliament, is human sexuality and the rights of people in Australia connected therewith. Topics such as marriage, adoption and superannuation readily come to mind. Some of the debate that surrounds these issues contains expressed or unexpressed assumptions or predicates about the rightness or wrongness of certain sexual orientations. That these assumptions or predicates may have been settled for many, if not most, in our community some years ago, cannot deny the existence of social and political debate about these issues.</w:t>
      </w:r>
    </w:p>
    <w:p w14:paraId="13D9B441" w14:textId="77777777" w:rsidR="00FC43F0" w:rsidRDefault="00FC43F0" w:rsidP="00EF185E">
      <w:pPr>
        <w:jc w:val="both"/>
      </w:pPr>
    </w:p>
    <w:p w14:paraId="7F441712" w14:textId="2655F99C" w:rsidR="00CD0651" w:rsidRPr="00CD0651" w:rsidRDefault="00FC43F0" w:rsidP="00CD0651">
      <w:pPr>
        <w:jc w:val="both"/>
        <w:rPr>
          <w:b/>
          <w:i/>
        </w:rPr>
      </w:pPr>
      <w:r w:rsidRPr="00CD0651">
        <w:t xml:space="preserve">We reiterate that there are a number of </w:t>
      </w:r>
      <w:proofErr w:type="spellStart"/>
      <w:r w:rsidRPr="00CD0651">
        <w:t>defences</w:t>
      </w:r>
      <w:proofErr w:type="spellEnd"/>
      <w:r w:rsidRPr="00CD0651">
        <w:t xml:space="preserve"> already available under both the </w:t>
      </w:r>
      <w:r w:rsidRPr="00CD0651">
        <w:rPr>
          <w:i/>
        </w:rPr>
        <w:t>Anti-Discrimination Act 1997</w:t>
      </w:r>
      <w:r w:rsidRPr="00CD0651">
        <w:t xml:space="preserve"> (</w:t>
      </w:r>
      <w:proofErr w:type="spellStart"/>
      <w:r w:rsidRPr="00CD0651">
        <w:t>Tas</w:t>
      </w:r>
      <w:proofErr w:type="spellEnd"/>
      <w:r w:rsidRPr="00CD0651">
        <w:t>) and the</w:t>
      </w:r>
      <w:r w:rsidR="00CD0651" w:rsidRPr="00CD0651">
        <w:t xml:space="preserve"> </w:t>
      </w:r>
      <w:r w:rsidR="00CD0651" w:rsidRPr="00CD0651">
        <w:rPr>
          <w:i/>
        </w:rPr>
        <w:t>Commonwealth of Australia Constitution Act 1900</w:t>
      </w:r>
      <w:r w:rsidR="00CD0651">
        <w:t xml:space="preserve"> that persons with a religious purpose would be able to rely on during the proposed plebiscite on marriage equality. While the existing exemptions do place some restrictions on the type of commentary that can be expressed, </w:t>
      </w:r>
      <w:r w:rsidR="00B54B9F">
        <w:t xml:space="preserve">such restrictions are designed to achieve balance and are </w:t>
      </w:r>
      <w:r w:rsidR="00CD0651">
        <w:t>not so restrictive as to prevent free and fair commentary, and open public debate.</w:t>
      </w:r>
    </w:p>
    <w:p w14:paraId="6672FB20" w14:textId="77777777" w:rsidR="00FC43F0" w:rsidRDefault="00FC43F0" w:rsidP="005446AB">
      <w:pPr>
        <w:jc w:val="both"/>
        <w:rPr>
          <w:b/>
          <w:i/>
        </w:rPr>
      </w:pPr>
    </w:p>
    <w:p w14:paraId="303F8B5B" w14:textId="4B55A459" w:rsidR="000D0437" w:rsidRPr="000D0437" w:rsidRDefault="000D0437" w:rsidP="005446AB">
      <w:pPr>
        <w:jc w:val="both"/>
        <w:rPr>
          <w:b/>
          <w:i/>
        </w:rPr>
      </w:pPr>
      <w:r w:rsidRPr="000D0437">
        <w:rPr>
          <w:b/>
          <w:i/>
        </w:rPr>
        <w:t xml:space="preserve">Amendments tip the balance too far in </w:t>
      </w:r>
      <w:proofErr w:type="spellStart"/>
      <w:r w:rsidRPr="000D0437">
        <w:rPr>
          <w:b/>
          <w:i/>
        </w:rPr>
        <w:t>favo</w:t>
      </w:r>
      <w:r w:rsidR="00B54B9F">
        <w:rPr>
          <w:b/>
          <w:i/>
        </w:rPr>
        <w:t>u</w:t>
      </w:r>
      <w:r w:rsidRPr="000D0437">
        <w:rPr>
          <w:b/>
          <w:i/>
        </w:rPr>
        <w:t>r</w:t>
      </w:r>
      <w:proofErr w:type="spellEnd"/>
      <w:r w:rsidRPr="000D0437">
        <w:rPr>
          <w:b/>
          <w:i/>
        </w:rPr>
        <w:t xml:space="preserve"> of discrimination</w:t>
      </w:r>
    </w:p>
    <w:p w14:paraId="19456728" w14:textId="2F8EB988" w:rsidR="005446AB" w:rsidRDefault="005446AB" w:rsidP="005446AB">
      <w:pPr>
        <w:jc w:val="both"/>
        <w:rPr>
          <w:rFonts w:eastAsia="Times New Roman" w:cs="Times New Roman"/>
        </w:rPr>
      </w:pPr>
      <w:r>
        <w:t xml:space="preserve">As well as the case law demonstrating no case for reform, we are also concerned at the broadening of section 55 of the Act to include a ‘religious purpose’. In our opinion the current exemptions which apply to </w:t>
      </w:r>
      <w:r>
        <w:rPr>
          <w:rFonts w:eastAsia="Times New Roman" w:cs="Times New Roman"/>
        </w:rPr>
        <w:t>academic, artistic, scientific or research purposes</w:t>
      </w:r>
      <w:r w:rsidR="00B54B9F">
        <w:rPr>
          <w:rFonts w:eastAsia="Times New Roman" w:cs="Times New Roman"/>
        </w:rPr>
        <w:t>,</w:t>
      </w:r>
      <w:r>
        <w:rPr>
          <w:rFonts w:eastAsia="Times New Roman" w:cs="Times New Roman"/>
        </w:rPr>
        <w:t xml:space="preserve"> as well as any purpose in the public interest strikes the right balance. We do not believe that the ‘conveying, teaching or proselytizing [of] a religious belief’ should provide an exemption to discriminatory conduct and/or inciting hatred. Alarmingly, the passing of this amendment will provide a </w:t>
      </w:r>
      <w:r w:rsidR="007933FF">
        <w:rPr>
          <w:rFonts w:eastAsia="Times New Roman" w:cs="Times New Roman"/>
        </w:rPr>
        <w:t>platform</w:t>
      </w:r>
      <w:r>
        <w:rPr>
          <w:rFonts w:eastAsia="Times New Roman" w:cs="Times New Roman"/>
        </w:rPr>
        <w:t xml:space="preserve"> for religious </w:t>
      </w:r>
      <w:proofErr w:type="spellStart"/>
      <w:r>
        <w:rPr>
          <w:rFonts w:eastAsia="Times New Roman" w:cs="Times New Roman"/>
        </w:rPr>
        <w:t>organisations</w:t>
      </w:r>
      <w:proofErr w:type="spellEnd"/>
      <w:r>
        <w:rPr>
          <w:rFonts w:eastAsia="Times New Roman" w:cs="Times New Roman"/>
        </w:rPr>
        <w:t xml:space="preserve"> to discriminate and/or incite hatred against minority groups including women, the disabled and the LGBTI community.  </w:t>
      </w:r>
    </w:p>
    <w:p w14:paraId="1693204F" w14:textId="77777777" w:rsidR="005446AB" w:rsidRDefault="005446AB" w:rsidP="005446AB">
      <w:pPr>
        <w:jc w:val="both"/>
        <w:rPr>
          <w:rFonts w:eastAsia="Times New Roman" w:cs="Times New Roman"/>
        </w:rPr>
      </w:pPr>
    </w:p>
    <w:p w14:paraId="254B21B6" w14:textId="6539AB57" w:rsidR="005446AB" w:rsidRDefault="005446AB" w:rsidP="005446AB">
      <w:pPr>
        <w:jc w:val="both"/>
        <w:rPr>
          <w:rFonts w:eastAsia="Times New Roman" w:cs="Times New Roman"/>
        </w:rPr>
      </w:pPr>
      <w:r>
        <w:rPr>
          <w:rFonts w:eastAsia="Times New Roman" w:cs="Times New Roman"/>
        </w:rPr>
        <w:t>In summary, we cannot support the proposed amendments to section 55 of the Act. The Government has repeatedly stated that the amendments are an attempt to ‘strike the right balance’</w:t>
      </w:r>
      <w:r>
        <w:rPr>
          <w:rStyle w:val="FootnoteReference"/>
          <w:rFonts w:eastAsia="Times New Roman" w:cs="Times New Roman"/>
        </w:rPr>
        <w:footnoteReference w:id="15"/>
      </w:r>
      <w:r>
        <w:rPr>
          <w:rFonts w:eastAsia="Times New Roman" w:cs="Times New Roman"/>
        </w:rPr>
        <w:t xml:space="preserve"> but have failed to provide any evidence of weakness in the current legislative provisions. No case law. No egregious outcomes. No </w:t>
      </w:r>
      <w:r w:rsidR="00CD0651">
        <w:rPr>
          <w:rFonts w:eastAsia="Times New Roman" w:cs="Times New Roman"/>
        </w:rPr>
        <w:t xml:space="preserve">obvious </w:t>
      </w:r>
      <w:r>
        <w:rPr>
          <w:rFonts w:eastAsia="Times New Roman" w:cs="Times New Roman"/>
        </w:rPr>
        <w:t xml:space="preserve">reason for concern. Further, in our view, the haste with which these reforms are being introduced is premature, particularly given the uncertainty around whether a plebiscite on marriage equality will even take place. However, of most concern is that the proposed amendment will weaken the protections provided to minority groups and allow persons with a religious purpose to engage in conduct that offends, humiliates, intimidates or ridicules another person and/or incite hatred against another person. </w:t>
      </w:r>
      <w:bookmarkStart w:id="4" w:name="_GoBack"/>
      <w:bookmarkEnd w:id="4"/>
    </w:p>
    <w:p w14:paraId="3B669051" w14:textId="77777777" w:rsidR="00CD0651" w:rsidRDefault="00CD0651" w:rsidP="005446AB">
      <w:pPr>
        <w:jc w:val="both"/>
        <w:rPr>
          <w:rFonts w:eastAsia="Times New Roman" w:cs="Times New Roman"/>
        </w:rPr>
      </w:pPr>
    </w:p>
    <w:p w14:paraId="68BB573A" w14:textId="196A6309" w:rsidR="00CD0651" w:rsidRDefault="00CD0651" w:rsidP="005446AB">
      <w:pPr>
        <w:jc w:val="both"/>
        <w:rPr>
          <w:rFonts w:eastAsia="Times New Roman" w:cs="Times New Roman"/>
        </w:rPr>
      </w:pPr>
      <w:r>
        <w:rPr>
          <w:rFonts w:eastAsia="Times New Roman" w:cs="Times New Roman"/>
        </w:rPr>
        <w:t xml:space="preserve">If you have any queries or we can be of any further assistance, please do not hesitate to contact us. </w:t>
      </w:r>
    </w:p>
    <w:p w14:paraId="4BE4890C" w14:textId="77777777" w:rsidR="00CD0651" w:rsidRDefault="00CD0651" w:rsidP="005446AB">
      <w:pPr>
        <w:jc w:val="both"/>
        <w:rPr>
          <w:rFonts w:eastAsia="Times New Roman" w:cs="Times New Roman"/>
        </w:rPr>
      </w:pPr>
    </w:p>
    <w:p w14:paraId="35BC0BB2" w14:textId="77777777" w:rsidR="0049628B" w:rsidRDefault="0049628B" w:rsidP="005446AB">
      <w:pPr>
        <w:jc w:val="both"/>
        <w:rPr>
          <w:rFonts w:eastAsia="Times New Roman" w:cs="Times New Roman"/>
        </w:rPr>
      </w:pPr>
    </w:p>
    <w:p w14:paraId="2166034C" w14:textId="0BFA1F65" w:rsidR="00CD0651" w:rsidRDefault="00CD0651" w:rsidP="005446AB">
      <w:pPr>
        <w:jc w:val="both"/>
        <w:rPr>
          <w:rFonts w:eastAsia="Times New Roman" w:cs="Times New Roman"/>
        </w:rPr>
      </w:pPr>
      <w:r>
        <w:rPr>
          <w:rFonts w:eastAsia="Times New Roman" w:cs="Times New Roman"/>
        </w:rPr>
        <w:t>Yours faithfully,</w:t>
      </w:r>
    </w:p>
    <w:p w14:paraId="07BA2A6C" w14:textId="77777777" w:rsidR="00CD0651" w:rsidRDefault="00CD0651" w:rsidP="005446AB">
      <w:pPr>
        <w:jc w:val="both"/>
        <w:rPr>
          <w:rFonts w:eastAsia="Times New Roman" w:cs="Times New Roman"/>
        </w:rPr>
      </w:pPr>
    </w:p>
    <w:p w14:paraId="463375D2" w14:textId="77777777" w:rsidR="00E72E5C" w:rsidRDefault="00E72E5C" w:rsidP="005446AB">
      <w:pPr>
        <w:jc w:val="both"/>
        <w:rPr>
          <w:rFonts w:eastAsia="Times New Roman" w:cs="Times New Roman"/>
        </w:rPr>
      </w:pPr>
    </w:p>
    <w:p w14:paraId="3F3BC6EA" w14:textId="77777777" w:rsidR="00E72E5C" w:rsidRDefault="00E72E5C" w:rsidP="005446AB">
      <w:pPr>
        <w:jc w:val="both"/>
        <w:rPr>
          <w:rFonts w:eastAsia="Times New Roman" w:cs="Times New Roman"/>
        </w:rPr>
      </w:pPr>
    </w:p>
    <w:p w14:paraId="159314F9" w14:textId="5E95E4C2" w:rsidR="00CD0651" w:rsidRDefault="00CD0651" w:rsidP="005446AB">
      <w:pPr>
        <w:jc w:val="both"/>
        <w:rPr>
          <w:rFonts w:eastAsia="Times New Roman" w:cs="Times New Roman"/>
        </w:rPr>
      </w:pPr>
      <w:r>
        <w:rPr>
          <w:rFonts w:eastAsia="Times New Roman" w:cs="Times New Roman"/>
        </w:rPr>
        <w:t>Benedict Bartl</w:t>
      </w:r>
    </w:p>
    <w:p w14:paraId="46985F89" w14:textId="3C3D0B24" w:rsidR="00CD0651" w:rsidRDefault="00CD0651" w:rsidP="005446AB">
      <w:pPr>
        <w:jc w:val="both"/>
        <w:rPr>
          <w:rFonts w:eastAsia="Times New Roman" w:cs="Times New Roman"/>
        </w:rPr>
      </w:pPr>
      <w:r>
        <w:rPr>
          <w:rFonts w:eastAsia="Times New Roman" w:cs="Times New Roman"/>
        </w:rPr>
        <w:t>Policy Officer</w:t>
      </w:r>
    </w:p>
    <w:p w14:paraId="3775C616" w14:textId="367064CC" w:rsidR="00CD0651" w:rsidRPr="00CD0651" w:rsidRDefault="00CD0651" w:rsidP="005446AB">
      <w:pPr>
        <w:pBdr>
          <w:bottom w:val="single" w:sz="6" w:space="1" w:color="auto"/>
        </w:pBdr>
        <w:jc w:val="both"/>
        <w:rPr>
          <w:rFonts w:eastAsia="Times New Roman" w:cs="Times New Roman"/>
          <w:b/>
        </w:rPr>
      </w:pPr>
      <w:r w:rsidRPr="00CD0651">
        <w:rPr>
          <w:rFonts w:eastAsia="Times New Roman" w:cs="Times New Roman"/>
          <w:b/>
        </w:rPr>
        <w:t xml:space="preserve">Community Legal </w:t>
      </w:r>
      <w:proofErr w:type="spellStart"/>
      <w:r w:rsidRPr="00CD0651">
        <w:rPr>
          <w:rFonts w:eastAsia="Times New Roman" w:cs="Times New Roman"/>
          <w:b/>
        </w:rPr>
        <w:t>Centres</w:t>
      </w:r>
      <w:proofErr w:type="spellEnd"/>
      <w:r w:rsidRPr="00CD0651">
        <w:rPr>
          <w:rFonts w:eastAsia="Times New Roman" w:cs="Times New Roman"/>
          <w:b/>
        </w:rPr>
        <w:t xml:space="preserve"> Tasmania</w:t>
      </w:r>
    </w:p>
    <w:p w14:paraId="0699C2B3" w14:textId="77777777" w:rsidR="008D735E" w:rsidRDefault="008D735E"/>
    <w:p w14:paraId="47A836CC" w14:textId="5507ED77" w:rsidR="00B77014" w:rsidRPr="00CD0651" w:rsidRDefault="00B77014" w:rsidP="00CD0651"/>
    <w:sectPr w:rsidR="00B77014" w:rsidRPr="00CD0651" w:rsidSect="004C046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E7BA" w14:textId="77777777" w:rsidR="0050058B" w:rsidRDefault="0050058B" w:rsidP="00697A05">
      <w:r>
        <w:separator/>
      </w:r>
    </w:p>
  </w:endnote>
  <w:endnote w:type="continuationSeparator" w:id="0">
    <w:p w14:paraId="211F5060" w14:textId="77777777" w:rsidR="0050058B" w:rsidRDefault="0050058B" w:rsidP="006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CDF17" w14:textId="77777777" w:rsidR="0050058B" w:rsidRDefault="0050058B" w:rsidP="00697A05">
      <w:r>
        <w:separator/>
      </w:r>
    </w:p>
  </w:footnote>
  <w:footnote w:type="continuationSeparator" w:id="0">
    <w:p w14:paraId="3DEFA15B" w14:textId="77777777" w:rsidR="0050058B" w:rsidRDefault="0050058B" w:rsidP="00697A05">
      <w:r>
        <w:continuationSeparator/>
      </w:r>
    </w:p>
  </w:footnote>
  <w:footnote w:id="1">
    <w:p w14:paraId="4C2F769C" w14:textId="77777777" w:rsidR="0050058B" w:rsidRPr="00423C6E" w:rsidRDefault="0050058B" w:rsidP="00CC1478">
      <w:pPr>
        <w:pStyle w:val="FootnoteText"/>
        <w:rPr>
          <w:rFonts w:asciiTheme="minorHAnsi" w:hAnsiTheme="minorHAnsi"/>
          <w:sz w:val="20"/>
          <w:szCs w:val="20"/>
          <w:lang w:val="en-US"/>
        </w:rPr>
      </w:pPr>
      <w:r w:rsidRPr="0050058B">
        <w:rPr>
          <w:rStyle w:val="FootnoteReference"/>
          <w:rFonts w:asciiTheme="minorHAnsi" w:hAnsiTheme="minorHAnsi"/>
          <w:sz w:val="20"/>
          <w:szCs w:val="20"/>
        </w:rPr>
        <w:footnoteRef/>
      </w:r>
      <w:r w:rsidRPr="00423C6E">
        <w:rPr>
          <w:rFonts w:asciiTheme="minorHAnsi" w:hAnsiTheme="minorHAnsi"/>
          <w:sz w:val="20"/>
          <w:szCs w:val="20"/>
        </w:rPr>
        <w:t xml:space="preserve"> </w:t>
      </w:r>
      <w:r w:rsidRPr="00423C6E">
        <w:rPr>
          <w:rFonts w:asciiTheme="minorHAnsi" w:hAnsiTheme="minorHAnsi"/>
          <w:i/>
          <w:sz w:val="20"/>
          <w:szCs w:val="20"/>
          <w:lang w:val="en-US"/>
        </w:rPr>
        <w:t xml:space="preserve">Kraus v </w:t>
      </w:r>
      <w:proofErr w:type="spellStart"/>
      <w:r w:rsidRPr="00423C6E">
        <w:rPr>
          <w:rFonts w:asciiTheme="minorHAnsi" w:hAnsiTheme="minorHAnsi"/>
          <w:i/>
          <w:sz w:val="20"/>
          <w:szCs w:val="20"/>
          <w:lang w:val="en-US"/>
        </w:rPr>
        <w:t>Menzie</w:t>
      </w:r>
      <w:proofErr w:type="spellEnd"/>
      <w:r w:rsidRPr="00423C6E">
        <w:rPr>
          <w:rFonts w:asciiTheme="minorHAnsi" w:hAnsiTheme="minorHAnsi"/>
          <w:i/>
          <w:sz w:val="20"/>
          <w:szCs w:val="20"/>
          <w:lang w:val="en-US"/>
        </w:rPr>
        <w:t xml:space="preserve"> </w:t>
      </w:r>
      <w:r w:rsidRPr="00423C6E">
        <w:rPr>
          <w:rFonts w:asciiTheme="minorHAnsi" w:hAnsiTheme="minorHAnsi"/>
          <w:sz w:val="20"/>
          <w:szCs w:val="20"/>
          <w:lang w:val="en-US"/>
        </w:rPr>
        <w:t>[2012] FCA 3 at</w:t>
      </w:r>
      <w:r w:rsidRPr="00423C6E">
        <w:rPr>
          <w:rFonts w:asciiTheme="minorHAnsi" w:hAnsiTheme="minorHAnsi"/>
          <w:i/>
          <w:sz w:val="20"/>
          <w:szCs w:val="20"/>
          <w:lang w:val="en-US"/>
        </w:rPr>
        <w:t xml:space="preserve"> </w:t>
      </w:r>
      <w:r w:rsidRPr="00423C6E">
        <w:rPr>
          <w:rFonts w:asciiTheme="minorHAnsi" w:hAnsiTheme="minorHAnsi"/>
          <w:sz w:val="20"/>
          <w:szCs w:val="20"/>
          <w:lang w:val="en-US"/>
        </w:rPr>
        <w:t>[22].</w:t>
      </w:r>
    </w:p>
  </w:footnote>
  <w:footnote w:id="2">
    <w:p w14:paraId="53E61177" w14:textId="77777777" w:rsidR="0050058B" w:rsidRPr="00423C6E" w:rsidRDefault="0050058B" w:rsidP="00CC1478">
      <w:pPr>
        <w:pStyle w:val="FootnoteText"/>
        <w:rPr>
          <w:rFonts w:asciiTheme="minorHAnsi" w:hAnsiTheme="minorHAnsi"/>
          <w:sz w:val="20"/>
          <w:szCs w:val="20"/>
          <w:lang w:val="en-US"/>
        </w:rPr>
      </w:pPr>
      <w:r w:rsidRPr="00423C6E">
        <w:rPr>
          <w:rStyle w:val="FootnoteReference"/>
          <w:rFonts w:asciiTheme="minorHAnsi" w:hAnsiTheme="minorHAnsi"/>
          <w:sz w:val="20"/>
          <w:szCs w:val="20"/>
        </w:rPr>
        <w:footnoteRef/>
      </w:r>
      <w:r w:rsidRPr="00423C6E">
        <w:rPr>
          <w:rFonts w:asciiTheme="minorHAnsi" w:hAnsiTheme="minorHAnsi"/>
          <w:sz w:val="20"/>
          <w:szCs w:val="20"/>
        </w:rPr>
        <w:t xml:space="preserve"> </w:t>
      </w:r>
      <w:r w:rsidRPr="00423C6E">
        <w:rPr>
          <w:rFonts w:asciiTheme="minorHAnsi" w:hAnsiTheme="minorHAnsi"/>
          <w:i/>
          <w:sz w:val="20"/>
          <w:szCs w:val="20"/>
        </w:rPr>
        <w:t xml:space="preserve">Leslie v Graham </w:t>
      </w:r>
      <w:r w:rsidRPr="00423C6E">
        <w:rPr>
          <w:rFonts w:asciiTheme="minorHAnsi" w:hAnsiTheme="minorHAnsi"/>
          <w:sz w:val="20"/>
          <w:szCs w:val="20"/>
        </w:rPr>
        <w:t>[2002] FCA 32 at [70].</w:t>
      </w:r>
    </w:p>
  </w:footnote>
  <w:footnote w:id="3">
    <w:p w14:paraId="7F057C47" w14:textId="75DC67C2" w:rsidR="0050058B" w:rsidRPr="00056C94" w:rsidRDefault="0050058B" w:rsidP="000A1B34">
      <w:pPr>
        <w:pStyle w:val="FootnoteText"/>
        <w:rPr>
          <w:rFonts w:asciiTheme="minorHAnsi" w:hAnsiTheme="minorHAnsi"/>
          <w:lang w:val="en-US"/>
        </w:rPr>
      </w:pPr>
      <w:r w:rsidRPr="0050058B">
        <w:rPr>
          <w:rStyle w:val="FootnoteReference"/>
          <w:rFonts w:asciiTheme="minorHAnsi" w:hAnsiTheme="minorHAnsi"/>
          <w:sz w:val="20"/>
          <w:szCs w:val="20"/>
        </w:rPr>
        <w:footnoteRef/>
      </w:r>
      <w:r w:rsidRPr="00056C94">
        <w:rPr>
          <w:rFonts w:asciiTheme="minorHAnsi" w:hAnsiTheme="minorHAnsi"/>
        </w:rPr>
        <w:t xml:space="preserve"> </w:t>
      </w:r>
      <w:proofErr w:type="gramStart"/>
      <w:r w:rsidRPr="00056C94">
        <w:rPr>
          <w:rFonts w:asciiTheme="minorHAnsi" w:hAnsiTheme="minorHAnsi"/>
          <w:sz w:val="20"/>
          <w:szCs w:val="20"/>
          <w:lang w:val="en-US"/>
        </w:rPr>
        <w:t>[2015] TASADT 4.</w:t>
      </w:r>
      <w:proofErr w:type="gramEnd"/>
      <w:r w:rsidRPr="00056C94">
        <w:rPr>
          <w:rFonts w:asciiTheme="minorHAnsi" w:hAnsiTheme="minorHAnsi"/>
          <w:sz w:val="20"/>
          <w:szCs w:val="20"/>
          <w:lang w:val="en-US"/>
        </w:rPr>
        <w:t xml:space="preserve"> References acknowledged in quote have been removed. Also see </w:t>
      </w:r>
      <w:r w:rsidRPr="00056C94">
        <w:rPr>
          <w:rFonts w:asciiTheme="minorHAnsi" w:hAnsiTheme="minorHAnsi"/>
          <w:i/>
          <w:iCs/>
          <w:sz w:val="20"/>
          <w:szCs w:val="20"/>
        </w:rPr>
        <w:t xml:space="preserve">Wood v </w:t>
      </w:r>
      <w:proofErr w:type="spellStart"/>
      <w:r w:rsidRPr="00056C94">
        <w:rPr>
          <w:rFonts w:asciiTheme="minorHAnsi" w:hAnsiTheme="minorHAnsi"/>
          <w:i/>
          <w:iCs/>
          <w:sz w:val="20"/>
          <w:szCs w:val="20"/>
        </w:rPr>
        <w:t>Gerke</w:t>
      </w:r>
      <w:proofErr w:type="spellEnd"/>
      <w:r w:rsidRPr="00056C94">
        <w:rPr>
          <w:rFonts w:asciiTheme="minorHAnsi" w:hAnsiTheme="minorHAnsi"/>
          <w:i/>
          <w:iCs/>
          <w:sz w:val="20"/>
          <w:szCs w:val="20"/>
        </w:rPr>
        <w:t xml:space="preserve"> and </w:t>
      </w:r>
      <w:proofErr w:type="spellStart"/>
      <w:r w:rsidRPr="00056C94">
        <w:rPr>
          <w:rFonts w:asciiTheme="minorHAnsi" w:hAnsiTheme="minorHAnsi"/>
          <w:i/>
          <w:iCs/>
          <w:sz w:val="20"/>
          <w:szCs w:val="20"/>
        </w:rPr>
        <w:t>Samjack</w:t>
      </w:r>
      <w:proofErr w:type="spellEnd"/>
      <w:r w:rsidRPr="00056C94">
        <w:rPr>
          <w:rFonts w:asciiTheme="minorHAnsi" w:hAnsiTheme="minorHAnsi"/>
          <w:i/>
          <w:iCs/>
          <w:sz w:val="20"/>
          <w:szCs w:val="20"/>
        </w:rPr>
        <w:t xml:space="preserve"> Pty Ltd </w:t>
      </w:r>
      <w:hyperlink r:id="rId1" w:tooltip="View LawCiteRecord" w:history="1">
        <w:r w:rsidRPr="00056C94">
          <w:rPr>
            <w:rStyle w:val="Hyperlink"/>
            <w:rFonts w:asciiTheme="minorHAnsi" w:hAnsiTheme="minorHAnsi"/>
            <w:color w:val="auto"/>
            <w:sz w:val="20"/>
            <w:szCs w:val="20"/>
            <w:u w:val="none"/>
          </w:rPr>
          <w:t>[2007] TASADT 03</w:t>
        </w:r>
      </w:hyperlink>
      <w:r w:rsidRPr="00056C94">
        <w:rPr>
          <w:rFonts w:asciiTheme="minorHAnsi" w:hAnsiTheme="minorHAnsi"/>
          <w:sz w:val="20"/>
          <w:szCs w:val="20"/>
        </w:rPr>
        <w:t xml:space="preserve"> and </w:t>
      </w:r>
      <w:r w:rsidRPr="00056C94">
        <w:rPr>
          <w:rFonts w:asciiTheme="minorHAnsi" w:hAnsiTheme="minorHAnsi"/>
          <w:i/>
          <w:iCs/>
          <w:sz w:val="20"/>
          <w:szCs w:val="20"/>
        </w:rPr>
        <w:t>Brinkley v Davies Bros Ltd</w:t>
      </w:r>
      <w:r w:rsidRPr="00056C94">
        <w:rPr>
          <w:rFonts w:asciiTheme="minorHAnsi" w:hAnsiTheme="minorHAnsi"/>
          <w:sz w:val="20"/>
          <w:szCs w:val="20"/>
        </w:rPr>
        <w:t xml:space="preserve"> [</w:t>
      </w:r>
      <w:r w:rsidRPr="00056C94">
        <w:rPr>
          <w:rFonts w:asciiTheme="minorHAnsi" w:hAnsiTheme="minorHAnsi"/>
          <w:sz w:val="20"/>
          <w:szCs w:val="20"/>
          <w:lang w:val="en-US"/>
        </w:rPr>
        <w:t>2008] TASADT 07.</w:t>
      </w:r>
    </w:p>
  </w:footnote>
  <w:footnote w:id="4">
    <w:p w14:paraId="13ADEBAF" w14:textId="04C00D70" w:rsidR="0050058B" w:rsidRPr="00056C94" w:rsidRDefault="0050058B">
      <w:pPr>
        <w:pStyle w:val="FootnoteText"/>
        <w:rPr>
          <w:rFonts w:asciiTheme="minorHAnsi" w:hAnsiTheme="minorHAnsi"/>
          <w:lang w:val="en-US"/>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w:t>
      </w:r>
      <w:proofErr w:type="spellStart"/>
      <w:proofErr w:type="gramStart"/>
      <w:r w:rsidRPr="00056C94">
        <w:rPr>
          <w:rFonts w:asciiTheme="minorHAnsi" w:hAnsiTheme="minorHAnsi"/>
          <w:i/>
          <w:sz w:val="20"/>
          <w:szCs w:val="20"/>
        </w:rPr>
        <w:t>Sunol</w:t>
      </w:r>
      <w:proofErr w:type="spellEnd"/>
      <w:r w:rsidRPr="00056C94">
        <w:rPr>
          <w:rFonts w:asciiTheme="minorHAnsi" w:hAnsiTheme="minorHAnsi"/>
          <w:i/>
          <w:sz w:val="20"/>
          <w:szCs w:val="20"/>
        </w:rPr>
        <w:t xml:space="preserve"> v Collier (No 2) </w:t>
      </w:r>
      <w:r w:rsidRPr="00056C94">
        <w:rPr>
          <w:rFonts w:asciiTheme="minorHAnsi" w:hAnsiTheme="minorHAnsi"/>
          <w:sz w:val="20"/>
          <w:szCs w:val="20"/>
        </w:rPr>
        <w:t>[2012] NSWCA 44 at [41].</w:t>
      </w:r>
      <w:proofErr w:type="gramEnd"/>
    </w:p>
  </w:footnote>
  <w:footnote w:id="5">
    <w:p w14:paraId="2A96BC08" w14:textId="56D029A0" w:rsidR="0050058B" w:rsidRPr="00056C94" w:rsidRDefault="0050058B">
      <w:pPr>
        <w:pStyle w:val="FootnoteText"/>
        <w:rPr>
          <w:rFonts w:asciiTheme="minorHAnsi" w:hAnsiTheme="minorHAnsi"/>
          <w:lang w:val="en-US"/>
        </w:rPr>
      </w:pPr>
      <w:r w:rsidRPr="0050058B">
        <w:rPr>
          <w:rStyle w:val="FootnoteReference"/>
          <w:rFonts w:asciiTheme="minorHAnsi" w:hAnsiTheme="minorHAnsi"/>
          <w:sz w:val="20"/>
          <w:szCs w:val="20"/>
        </w:rPr>
        <w:footnoteRef/>
      </w:r>
      <w:r w:rsidRPr="00056C94">
        <w:rPr>
          <w:rFonts w:asciiTheme="minorHAnsi" w:hAnsiTheme="minorHAnsi"/>
        </w:rPr>
        <w:t xml:space="preserve"> </w:t>
      </w:r>
      <w:proofErr w:type="spellStart"/>
      <w:proofErr w:type="gramStart"/>
      <w:r w:rsidRPr="00056C94">
        <w:rPr>
          <w:rFonts w:asciiTheme="minorHAnsi" w:hAnsiTheme="minorHAnsi"/>
          <w:i/>
          <w:sz w:val="20"/>
          <w:szCs w:val="20"/>
        </w:rPr>
        <w:t>Sunol</w:t>
      </w:r>
      <w:proofErr w:type="spellEnd"/>
      <w:r w:rsidRPr="00056C94">
        <w:rPr>
          <w:rFonts w:asciiTheme="minorHAnsi" w:hAnsiTheme="minorHAnsi"/>
          <w:i/>
          <w:sz w:val="20"/>
          <w:szCs w:val="20"/>
        </w:rPr>
        <w:t xml:space="preserve"> v Collier (No 2) </w:t>
      </w:r>
      <w:r w:rsidRPr="00056C94">
        <w:rPr>
          <w:rFonts w:asciiTheme="minorHAnsi" w:hAnsiTheme="minorHAnsi"/>
          <w:sz w:val="20"/>
          <w:szCs w:val="20"/>
        </w:rPr>
        <w:t>[2012] NSWCA 44 at [41].</w:t>
      </w:r>
      <w:proofErr w:type="gramEnd"/>
    </w:p>
  </w:footnote>
  <w:footnote w:id="6">
    <w:p w14:paraId="172B1FB5" w14:textId="7F7CD631" w:rsidR="0050058B" w:rsidRPr="00056C94" w:rsidRDefault="0050058B">
      <w:pPr>
        <w:pStyle w:val="FootnoteText"/>
        <w:rPr>
          <w:rFonts w:asciiTheme="minorHAnsi" w:hAnsiTheme="minorHAnsi"/>
          <w:lang w:val="en-US"/>
        </w:rPr>
      </w:pPr>
      <w:r w:rsidRPr="0050058B">
        <w:rPr>
          <w:rStyle w:val="FootnoteReference"/>
          <w:rFonts w:asciiTheme="minorHAnsi" w:hAnsiTheme="minorHAnsi"/>
          <w:sz w:val="20"/>
          <w:szCs w:val="20"/>
        </w:rPr>
        <w:footnoteRef/>
      </w:r>
      <w:r w:rsidRPr="00056C94">
        <w:rPr>
          <w:rFonts w:asciiTheme="minorHAnsi" w:hAnsiTheme="minorHAnsi"/>
        </w:rPr>
        <w:t xml:space="preserve"> </w:t>
      </w:r>
      <w:proofErr w:type="spellStart"/>
      <w:r w:rsidRPr="00056C94">
        <w:rPr>
          <w:rFonts w:asciiTheme="minorHAnsi" w:hAnsiTheme="minorHAnsi"/>
          <w:i/>
          <w:sz w:val="20"/>
          <w:szCs w:val="20"/>
        </w:rPr>
        <w:t>Bropho</w:t>
      </w:r>
      <w:proofErr w:type="spellEnd"/>
      <w:r w:rsidRPr="00056C94">
        <w:rPr>
          <w:rFonts w:asciiTheme="minorHAnsi" w:hAnsiTheme="minorHAnsi"/>
          <w:i/>
          <w:sz w:val="20"/>
          <w:szCs w:val="20"/>
        </w:rPr>
        <w:t xml:space="preserve"> v Human Rights &amp; </w:t>
      </w:r>
      <w:proofErr w:type="gramStart"/>
      <w:r w:rsidRPr="00056C94">
        <w:rPr>
          <w:rFonts w:asciiTheme="minorHAnsi" w:hAnsiTheme="minorHAnsi"/>
          <w:i/>
          <w:sz w:val="20"/>
          <w:szCs w:val="20"/>
        </w:rPr>
        <w:t>Equal Opportunity</w:t>
      </w:r>
      <w:proofErr w:type="gramEnd"/>
      <w:r w:rsidRPr="00056C94">
        <w:rPr>
          <w:rFonts w:asciiTheme="minorHAnsi" w:hAnsiTheme="minorHAnsi"/>
          <w:i/>
          <w:sz w:val="20"/>
          <w:szCs w:val="20"/>
        </w:rPr>
        <w:t xml:space="preserve"> Commission</w:t>
      </w:r>
      <w:r w:rsidRPr="00056C94">
        <w:rPr>
          <w:rFonts w:asciiTheme="minorHAnsi" w:hAnsiTheme="minorHAnsi"/>
          <w:sz w:val="20"/>
          <w:szCs w:val="20"/>
        </w:rPr>
        <w:t xml:space="preserve"> (2004) 135 FCR 105 at [197].</w:t>
      </w:r>
    </w:p>
  </w:footnote>
  <w:footnote w:id="7">
    <w:p w14:paraId="159798A0" w14:textId="750C39DA" w:rsidR="0050058B" w:rsidRPr="0050058B" w:rsidRDefault="0050058B">
      <w:pPr>
        <w:pStyle w:val="FootnoteText"/>
        <w:rPr>
          <w:sz w:val="20"/>
          <w:szCs w:val="20"/>
          <w:lang w:val="en-US"/>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Section 3 of the </w:t>
      </w:r>
      <w:r w:rsidRPr="0050058B">
        <w:rPr>
          <w:rFonts w:asciiTheme="minorHAnsi" w:hAnsiTheme="minorHAnsi"/>
          <w:i/>
          <w:sz w:val="20"/>
          <w:szCs w:val="20"/>
        </w:rPr>
        <w:t>Anti-Discrimination Act 1998</w:t>
      </w:r>
      <w:r w:rsidRPr="0050058B">
        <w:rPr>
          <w:rFonts w:asciiTheme="minorHAnsi" w:hAnsiTheme="minorHAnsi"/>
          <w:sz w:val="20"/>
          <w:szCs w:val="20"/>
        </w:rPr>
        <w:t xml:space="preserve"> (</w:t>
      </w:r>
      <w:proofErr w:type="spellStart"/>
      <w:r w:rsidRPr="0050058B">
        <w:rPr>
          <w:rFonts w:asciiTheme="minorHAnsi" w:hAnsiTheme="minorHAnsi"/>
          <w:sz w:val="20"/>
          <w:szCs w:val="20"/>
        </w:rPr>
        <w:t>Tas</w:t>
      </w:r>
      <w:proofErr w:type="spellEnd"/>
      <w:r w:rsidRPr="0050058B">
        <w:rPr>
          <w:rFonts w:asciiTheme="minorHAnsi" w:hAnsiTheme="minorHAnsi"/>
          <w:sz w:val="20"/>
          <w:szCs w:val="20"/>
        </w:rPr>
        <w:t>) defines ‘public act’. Equal Opportunity Tasmania materials describe a public act as including ‘actions other people can hear or see, and include displaying or sending out information to other people, whether by distributing leaflets, posting billboards, commenting on radio or television, or posting comments online’: Equal Opportunity Tasmania, ‘Inciting Others – Stirring up hatred or ridicule is not okay – know where the line is.</w:t>
      </w:r>
      <w:r w:rsidRPr="0050058B">
        <w:rPr>
          <w:sz w:val="20"/>
          <w:szCs w:val="20"/>
        </w:rPr>
        <w:t xml:space="preserve"> </w:t>
      </w:r>
    </w:p>
  </w:footnote>
  <w:footnote w:id="8">
    <w:p w14:paraId="056DA3F7" w14:textId="44ABE7F4" w:rsidR="0050058B" w:rsidRPr="0050058B" w:rsidRDefault="0050058B">
      <w:pPr>
        <w:pStyle w:val="FootnoteText"/>
        <w:rPr>
          <w:rFonts w:asciiTheme="minorHAnsi" w:hAnsiTheme="minorHAnsi"/>
          <w:sz w:val="20"/>
          <w:szCs w:val="20"/>
          <w:lang w:val="en-US"/>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w:t>
      </w:r>
      <w:proofErr w:type="gramStart"/>
      <w:r w:rsidRPr="0050058B">
        <w:rPr>
          <w:rFonts w:asciiTheme="minorHAnsi" w:hAnsiTheme="minorHAnsi"/>
          <w:sz w:val="20"/>
          <w:szCs w:val="20"/>
        </w:rPr>
        <w:t>(2004) 135 FCR 105.</w:t>
      </w:r>
      <w:proofErr w:type="gramEnd"/>
    </w:p>
  </w:footnote>
  <w:footnote w:id="9">
    <w:p w14:paraId="6C0025EA" w14:textId="77777777" w:rsidR="0050058B" w:rsidRPr="0050058B" w:rsidRDefault="0050058B" w:rsidP="0004444D">
      <w:pPr>
        <w:pStyle w:val="FootnoteText"/>
        <w:rPr>
          <w:rFonts w:asciiTheme="minorHAnsi" w:hAnsiTheme="minorHAnsi"/>
          <w:sz w:val="20"/>
          <w:szCs w:val="20"/>
          <w:lang w:val="en-US"/>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w:t>
      </w:r>
      <w:proofErr w:type="spellStart"/>
      <w:r w:rsidRPr="0050058B">
        <w:rPr>
          <w:rFonts w:asciiTheme="minorHAnsi" w:hAnsiTheme="minorHAnsi"/>
          <w:i/>
          <w:sz w:val="20"/>
          <w:szCs w:val="20"/>
        </w:rPr>
        <w:t>Bropho</w:t>
      </w:r>
      <w:proofErr w:type="spellEnd"/>
      <w:r w:rsidRPr="0050058B">
        <w:rPr>
          <w:rFonts w:asciiTheme="minorHAnsi" w:hAnsiTheme="minorHAnsi"/>
          <w:i/>
          <w:sz w:val="20"/>
          <w:szCs w:val="20"/>
        </w:rPr>
        <w:t xml:space="preserve"> v Human Rights &amp; </w:t>
      </w:r>
      <w:proofErr w:type="gramStart"/>
      <w:r w:rsidRPr="0050058B">
        <w:rPr>
          <w:rFonts w:asciiTheme="minorHAnsi" w:hAnsiTheme="minorHAnsi"/>
          <w:i/>
          <w:sz w:val="20"/>
          <w:szCs w:val="20"/>
        </w:rPr>
        <w:t>Equal Opportunity</w:t>
      </w:r>
      <w:proofErr w:type="gramEnd"/>
      <w:r w:rsidRPr="0050058B">
        <w:rPr>
          <w:rFonts w:asciiTheme="minorHAnsi" w:hAnsiTheme="minorHAnsi"/>
          <w:i/>
          <w:sz w:val="20"/>
          <w:szCs w:val="20"/>
        </w:rPr>
        <w:t xml:space="preserve"> Commission</w:t>
      </w:r>
      <w:r w:rsidRPr="0050058B">
        <w:rPr>
          <w:rFonts w:asciiTheme="minorHAnsi" w:hAnsiTheme="minorHAnsi"/>
          <w:sz w:val="20"/>
          <w:szCs w:val="20"/>
        </w:rPr>
        <w:t xml:space="preserve"> (2004) 135 FCR 105 at [197].</w:t>
      </w:r>
    </w:p>
  </w:footnote>
  <w:footnote w:id="10">
    <w:p w14:paraId="0ECB2C3C" w14:textId="6BB96F4C" w:rsidR="0050058B" w:rsidRPr="0050058B" w:rsidRDefault="0050058B">
      <w:pPr>
        <w:pStyle w:val="FootnoteText"/>
        <w:rPr>
          <w:rFonts w:asciiTheme="minorHAnsi" w:hAnsiTheme="minorHAnsi"/>
          <w:sz w:val="20"/>
          <w:szCs w:val="20"/>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w:t>
      </w:r>
      <w:r w:rsidRPr="0050058B">
        <w:rPr>
          <w:rFonts w:asciiTheme="minorHAnsi" w:hAnsiTheme="minorHAnsi"/>
          <w:i/>
          <w:sz w:val="20"/>
          <w:szCs w:val="20"/>
          <w:lang w:val="en-US"/>
        </w:rPr>
        <w:t xml:space="preserve">Christian Youth Camps Ltd &amp; </w:t>
      </w:r>
      <w:proofErr w:type="spellStart"/>
      <w:r w:rsidRPr="0050058B">
        <w:rPr>
          <w:rFonts w:asciiTheme="minorHAnsi" w:hAnsiTheme="minorHAnsi"/>
          <w:i/>
          <w:sz w:val="20"/>
          <w:szCs w:val="20"/>
          <w:lang w:val="en-US"/>
        </w:rPr>
        <w:t>Ors</w:t>
      </w:r>
      <w:proofErr w:type="spellEnd"/>
      <w:r w:rsidRPr="0050058B">
        <w:rPr>
          <w:rFonts w:asciiTheme="minorHAnsi" w:hAnsiTheme="minorHAnsi"/>
          <w:i/>
          <w:sz w:val="20"/>
          <w:szCs w:val="20"/>
          <w:lang w:val="en-US"/>
        </w:rPr>
        <w:t xml:space="preserve"> v </w:t>
      </w:r>
      <w:proofErr w:type="spellStart"/>
      <w:r w:rsidRPr="0050058B">
        <w:rPr>
          <w:rFonts w:asciiTheme="minorHAnsi" w:hAnsiTheme="minorHAnsi"/>
          <w:i/>
          <w:sz w:val="20"/>
          <w:szCs w:val="20"/>
          <w:lang w:val="en-US"/>
        </w:rPr>
        <w:t>Cobaw</w:t>
      </w:r>
      <w:proofErr w:type="spellEnd"/>
      <w:r w:rsidRPr="0050058B">
        <w:rPr>
          <w:rFonts w:asciiTheme="minorHAnsi" w:hAnsiTheme="minorHAnsi"/>
          <w:i/>
          <w:sz w:val="20"/>
          <w:szCs w:val="20"/>
          <w:lang w:val="en-US"/>
        </w:rPr>
        <w:t xml:space="preserve"> Community Health Services Ltd v </w:t>
      </w:r>
      <w:proofErr w:type="spellStart"/>
      <w:r w:rsidRPr="0050058B">
        <w:rPr>
          <w:rFonts w:asciiTheme="minorHAnsi" w:hAnsiTheme="minorHAnsi"/>
          <w:i/>
          <w:sz w:val="20"/>
          <w:szCs w:val="20"/>
          <w:lang w:val="en-US"/>
        </w:rPr>
        <w:t>Ors</w:t>
      </w:r>
      <w:proofErr w:type="spellEnd"/>
      <w:r w:rsidRPr="0050058B">
        <w:rPr>
          <w:rFonts w:asciiTheme="minorHAnsi" w:hAnsiTheme="minorHAnsi"/>
          <w:sz w:val="20"/>
          <w:szCs w:val="20"/>
          <w:lang w:val="en-US"/>
        </w:rPr>
        <w:t xml:space="preserve"> [2014] VSCA 75 at </w:t>
      </w:r>
      <w:proofErr w:type="spellStart"/>
      <w:r w:rsidRPr="0050058B">
        <w:rPr>
          <w:rFonts w:asciiTheme="minorHAnsi" w:hAnsiTheme="minorHAnsi"/>
          <w:sz w:val="20"/>
          <w:szCs w:val="20"/>
          <w:lang w:val="en-US"/>
        </w:rPr>
        <w:t>para</w:t>
      </w:r>
      <w:proofErr w:type="spellEnd"/>
      <w:r w:rsidRPr="0050058B">
        <w:rPr>
          <w:rFonts w:asciiTheme="minorHAnsi" w:hAnsiTheme="minorHAnsi"/>
          <w:sz w:val="20"/>
          <w:szCs w:val="20"/>
          <w:lang w:val="en-US"/>
        </w:rPr>
        <w:t xml:space="preserve">. [425] </w:t>
      </w:r>
      <w:proofErr w:type="gramStart"/>
      <w:r w:rsidRPr="0050058B">
        <w:rPr>
          <w:rFonts w:asciiTheme="minorHAnsi" w:hAnsiTheme="minorHAnsi"/>
          <w:sz w:val="20"/>
          <w:szCs w:val="20"/>
          <w:lang w:val="en-US"/>
        </w:rPr>
        <w:t>per</w:t>
      </w:r>
      <w:proofErr w:type="gramEnd"/>
      <w:r w:rsidRPr="0050058B">
        <w:rPr>
          <w:rFonts w:asciiTheme="minorHAnsi" w:hAnsiTheme="minorHAnsi"/>
          <w:sz w:val="20"/>
          <w:szCs w:val="20"/>
          <w:lang w:val="en-US"/>
        </w:rPr>
        <w:t xml:space="preserve"> </w:t>
      </w:r>
      <w:proofErr w:type="spellStart"/>
      <w:r w:rsidRPr="0050058B">
        <w:rPr>
          <w:rFonts w:asciiTheme="minorHAnsi" w:hAnsiTheme="minorHAnsi"/>
          <w:sz w:val="20"/>
          <w:szCs w:val="20"/>
          <w:lang w:val="en-US"/>
        </w:rPr>
        <w:t>Neave</w:t>
      </w:r>
      <w:proofErr w:type="spellEnd"/>
      <w:r w:rsidRPr="0050058B">
        <w:rPr>
          <w:rFonts w:asciiTheme="minorHAnsi" w:hAnsiTheme="minorHAnsi"/>
          <w:sz w:val="20"/>
          <w:szCs w:val="20"/>
          <w:lang w:val="en-US"/>
        </w:rPr>
        <w:t xml:space="preserve"> JA. Also see the remarks in </w:t>
      </w:r>
      <w:r w:rsidRPr="0050058B">
        <w:rPr>
          <w:rFonts w:asciiTheme="minorHAnsi" w:hAnsiTheme="minorHAnsi"/>
          <w:i/>
          <w:sz w:val="20"/>
          <w:szCs w:val="20"/>
        </w:rPr>
        <w:t xml:space="preserve">Bull v Hall </w:t>
      </w:r>
      <w:r w:rsidRPr="0050058B">
        <w:rPr>
          <w:rFonts w:asciiTheme="minorHAnsi" w:hAnsiTheme="minorHAnsi"/>
          <w:sz w:val="20"/>
          <w:szCs w:val="20"/>
        </w:rPr>
        <w:t>[2014] 1 All ER 919 at [278] per Lady Hull</w:t>
      </w:r>
      <w:proofErr w:type="gramStart"/>
      <w:r w:rsidRPr="0050058B">
        <w:rPr>
          <w:rFonts w:asciiTheme="minorHAnsi" w:hAnsiTheme="minorHAnsi"/>
          <w:sz w:val="20"/>
          <w:szCs w:val="20"/>
        </w:rPr>
        <w:t>;</w:t>
      </w:r>
      <w:proofErr w:type="gramEnd"/>
      <w:r w:rsidRPr="0050058B">
        <w:rPr>
          <w:rFonts w:asciiTheme="minorHAnsi" w:hAnsiTheme="minorHAnsi"/>
          <w:sz w:val="20"/>
          <w:szCs w:val="20"/>
        </w:rPr>
        <w:t xml:space="preserve"> </w:t>
      </w:r>
      <w:r w:rsidRPr="0050058B">
        <w:rPr>
          <w:rFonts w:asciiTheme="minorHAnsi" w:hAnsiTheme="minorHAnsi"/>
          <w:i/>
          <w:iCs/>
          <w:sz w:val="20"/>
          <w:szCs w:val="20"/>
        </w:rPr>
        <w:t>Christian Education South Africa v Minister of Education</w:t>
      </w:r>
      <w:r w:rsidRPr="0050058B">
        <w:rPr>
          <w:rFonts w:asciiTheme="minorHAnsi" w:hAnsiTheme="minorHAnsi"/>
          <w:sz w:val="20"/>
          <w:szCs w:val="20"/>
        </w:rPr>
        <w:t xml:space="preserve"> (1999) 2 SA 83 at [35] per Sachs JA and </w:t>
      </w:r>
      <w:r w:rsidRPr="0050058B">
        <w:rPr>
          <w:rFonts w:asciiTheme="minorHAnsi" w:hAnsiTheme="minorHAnsi"/>
          <w:i/>
          <w:iCs/>
          <w:sz w:val="20"/>
          <w:szCs w:val="20"/>
        </w:rPr>
        <w:t xml:space="preserve">Ontario Human Rights Commission v </w:t>
      </w:r>
      <w:proofErr w:type="spellStart"/>
      <w:r w:rsidRPr="0050058B">
        <w:rPr>
          <w:rFonts w:asciiTheme="minorHAnsi" w:hAnsiTheme="minorHAnsi"/>
          <w:i/>
          <w:iCs/>
          <w:sz w:val="20"/>
          <w:szCs w:val="20"/>
        </w:rPr>
        <w:t>Brockie</w:t>
      </w:r>
      <w:proofErr w:type="spellEnd"/>
      <w:r w:rsidRPr="0050058B">
        <w:rPr>
          <w:rFonts w:asciiTheme="minorHAnsi" w:hAnsiTheme="minorHAnsi"/>
          <w:sz w:val="20"/>
          <w:szCs w:val="20"/>
        </w:rPr>
        <w:t xml:space="preserve"> [2002] 222 DLR (4</w:t>
      </w:r>
      <w:r w:rsidRPr="0050058B">
        <w:rPr>
          <w:rFonts w:asciiTheme="minorHAnsi" w:hAnsiTheme="minorHAnsi"/>
          <w:sz w:val="20"/>
          <w:szCs w:val="20"/>
          <w:vertAlign w:val="superscript"/>
        </w:rPr>
        <w:t>th</w:t>
      </w:r>
      <w:r w:rsidRPr="0050058B">
        <w:rPr>
          <w:rFonts w:asciiTheme="minorHAnsi" w:hAnsiTheme="minorHAnsi"/>
          <w:sz w:val="20"/>
          <w:szCs w:val="20"/>
        </w:rPr>
        <w:t xml:space="preserve">) 174 at [42]. </w:t>
      </w:r>
    </w:p>
  </w:footnote>
  <w:footnote w:id="11">
    <w:p w14:paraId="0E2710D1" w14:textId="6567ECB1" w:rsidR="0050058B" w:rsidRPr="0050058B" w:rsidRDefault="0050058B" w:rsidP="00C731F0">
      <w:pPr>
        <w:pStyle w:val="FootnoteText"/>
        <w:rPr>
          <w:rFonts w:asciiTheme="minorHAnsi" w:hAnsiTheme="minorHAnsi"/>
          <w:sz w:val="20"/>
          <w:szCs w:val="20"/>
          <w:lang w:val="en-US"/>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w:t>
      </w:r>
      <w:proofErr w:type="gramStart"/>
      <w:r w:rsidRPr="0050058B">
        <w:rPr>
          <w:rFonts w:asciiTheme="minorHAnsi" w:hAnsiTheme="minorHAnsi"/>
          <w:sz w:val="20"/>
          <w:szCs w:val="20"/>
          <w:lang w:val="en-US"/>
        </w:rPr>
        <w:t>[2015] TASADT 4.</w:t>
      </w:r>
      <w:proofErr w:type="gramEnd"/>
    </w:p>
  </w:footnote>
  <w:footnote w:id="12">
    <w:p w14:paraId="7689DF5F" w14:textId="3784B989" w:rsidR="0050058B" w:rsidRPr="0050058B" w:rsidRDefault="0050058B">
      <w:pPr>
        <w:pStyle w:val="FootnoteText"/>
        <w:rPr>
          <w:rFonts w:asciiTheme="minorHAnsi" w:hAnsiTheme="minorHAnsi"/>
          <w:sz w:val="20"/>
          <w:szCs w:val="20"/>
          <w:lang w:val="en-US"/>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w:t>
      </w:r>
      <w:proofErr w:type="gramStart"/>
      <w:r w:rsidRPr="0050058B">
        <w:rPr>
          <w:rFonts w:asciiTheme="minorHAnsi" w:hAnsiTheme="minorHAnsi"/>
          <w:sz w:val="20"/>
          <w:szCs w:val="20"/>
          <w:lang w:val="en-US"/>
        </w:rPr>
        <w:t xml:space="preserve">Section 116 of the </w:t>
      </w:r>
      <w:r w:rsidRPr="0050058B">
        <w:rPr>
          <w:rFonts w:asciiTheme="minorHAnsi" w:hAnsiTheme="minorHAnsi"/>
          <w:i/>
          <w:sz w:val="20"/>
          <w:szCs w:val="20"/>
          <w:lang w:val="en-US"/>
        </w:rPr>
        <w:t>Commonwealth of Australia Constitution Act 1900</w:t>
      </w:r>
      <w:r w:rsidRPr="0050058B">
        <w:rPr>
          <w:rFonts w:asciiTheme="minorHAnsi" w:hAnsiTheme="minorHAnsi"/>
          <w:sz w:val="20"/>
          <w:szCs w:val="20"/>
          <w:lang w:val="en-US"/>
        </w:rPr>
        <w:t>.</w:t>
      </w:r>
      <w:proofErr w:type="gramEnd"/>
    </w:p>
  </w:footnote>
  <w:footnote w:id="13">
    <w:p w14:paraId="77C03903" w14:textId="4384BA07" w:rsidR="0050058B" w:rsidRPr="00B052BC" w:rsidRDefault="0050058B">
      <w:pPr>
        <w:pStyle w:val="FootnoteText"/>
        <w:rPr>
          <w:lang w:val="en-US"/>
        </w:rPr>
      </w:pPr>
      <w:r w:rsidRPr="0050058B">
        <w:rPr>
          <w:rStyle w:val="FootnoteReference"/>
          <w:rFonts w:asciiTheme="minorHAnsi" w:hAnsiTheme="minorHAnsi"/>
          <w:sz w:val="20"/>
          <w:szCs w:val="20"/>
        </w:rPr>
        <w:footnoteRef/>
      </w:r>
      <w:r w:rsidRPr="0050058B">
        <w:rPr>
          <w:rFonts w:asciiTheme="minorHAnsi" w:hAnsiTheme="minorHAnsi"/>
          <w:sz w:val="20"/>
          <w:szCs w:val="20"/>
        </w:rPr>
        <w:t xml:space="preserve"> </w:t>
      </w:r>
      <w:r w:rsidRPr="0050058B">
        <w:rPr>
          <w:rFonts w:asciiTheme="minorHAnsi" w:hAnsiTheme="minorHAnsi"/>
          <w:i/>
          <w:sz w:val="20"/>
          <w:szCs w:val="20"/>
        </w:rPr>
        <w:t xml:space="preserve">Williams v </w:t>
      </w:r>
      <w:proofErr w:type="spellStart"/>
      <w:r w:rsidRPr="0050058B">
        <w:rPr>
          <w:rFonts w:asciiTheme="minorHAnsi" w:hAnsiTheme="minorHAnsi"/>
          <w:i/>
          <w:sz w:val="20"/>
          <w:szCs w:val="20"/>
        </w:rPr>
        <w:t>Threewisemonkeys</w:t>
      </w:r>
      <w:proofErr w:type="spellEnd"/>
      <w:r w:rsidRPr="0050058B">
        <w:rPr>
          <w:rFonts w:asciiTheme="minorHAnsi" w:hAnsiTheme="minorHAnsi"/>
          <w:i/>
          <w:sz w:val="20"/>
          <w:szCs w:val="20"/>
        </w:rPr>
        <w:t xml:space="preserve"> and </w:t>
      </w:r>
      <w:proofErr w:type="spellStart"/>
      <w:r w:rsidRPr="0050058B">
        <w:rPr>
          <w:rFonts w:asciiTheme="minorHAnsi" w:hAnsiTheme="minorHAnsi"/>
          <w:i/>
          <w:sz w:val="20"/>
          <w:szCs w:val="20"/>
        </w:rPr>
        <w:t>Durston</w:t>
      </w:r>
      <w:proofErr w:type="spellEnd"/>
      <w:r w:rsidRPr="0050058B">
        <w:rPr>
          <w:rFonts w:asciiTheme="minorHAnsi" w:hAnsiTheme="minorHAnsi"/>
          <w:i/>
          <w:sz w:val="20"/>
          <w:szCs w:val="20"/>
        </w:rPr>
        <w:t xml:space="preserve"> </w:t>
      </w:r>
      <w:r w:rsidRPr="0050058B">
        <w:rPr>
          <w:rFonts w:asciiTheme="minorHAnsi" w:hAnsiTheme="minorHAnsi"/>
          <w:sz w:val="20"/>
          <w:szCs w:val="20"/>
          <w:lang w:val="en-US"/>
        </w:rPr>
        <w:t xml:space="preserve">[2015] TASADT 4 at </w:t>
      </w:r>
      <w:proofErr w:type="spellStart"/>
      <w:r w:rsidRPr="0050058B">
        <w:rPr>
          <w:rFonts w:asciiTheme="minorHAnsi" w:hAnsiTheme="minorHAnsi"/>
          <w:sz w:val="20"/>
          <w:szCs w:val="20"/>
          <w:lang w:val="en-US"/>
        </w:rPr>
        <w:t>paras</w:t>
      </w:r>
      <w:proofErr w:type="spellEnd"/>
      <w:r w:rsidRPr="0050058B">
        <w:rPr>
          <w:rFonts w:asciiTheme="minorHAnsi" w:hAnsiTheme="minorHAnsi"/>
          <w:sz w:val="20"/>
          <w:szCs w:val="20"/>
          <w:lang w:val="en-US"/>
        </w:rPr>
        <w:t xml:space="preserve">. [28] </w:t>
      </w:r>
      <w:proofErr w:type="gramStart"/>
      <w:r w:rsidRPr="0050058B">
        <w:rPr>
          <w:rFonts w:asciiTheme="minorHAnsi" w:hAnsiTheme="minorHAnsi"/>
          <w:sz w:val="20"/>
          <w:szCs w:val="20"/>
          <w:lang w:val="en-US"/>
        </w:rPr>
        <w:t>and</w:t>
      </w:r>
      <w:proofErr w:type="gramEnd"/>
      <w:r w:rsidRPr="0050058B">
        <w:rPr>
          <w:rFonts w:asciiTheme="minorHAnsi" w:hAnsiTheme="minorHAnsi"/>
          <w:sz w:val="20"/>
          <w:szCs w:val="20"/>
          <w:lang w:val="en-US"/>
        </w:rPr>
        <w:t xml:space="preserve"> [35].</w:t>
      </w:r>
      <w:r>
        <w:rPr>
          <w:rFonts w:asciiTheme="minorHAnsi" w:hAnsiTheme="minorHAnsi"/>
          <w:sz w:val="20"/>
          <w:szCs w:val="20"/>
          <w:lang w:val="en-US"/>
        </w:rPr>
        <w:t xml:space="preserve"> </w:t>
      </w:r>
    </w:p>
  </w:footnote>
  <w:footnote w:id="14">
    <w:p w14:paraId="1504CF8E" w14:textId="52C1CC9B" w:rsidR="0050058B" w:rsidRPr="00423C6E" w:rsidRDefault="0050058B" w:rsidP="006547ED">
      <w:pPr>
        <w:pStyle w:val="FootnoteText"/>
        <w:rPr>
          <w:rFonts w:asciiTheme="minorHAnsi" w:hAnsiTheme="minorHAnsi"/>
          <w:sz w:val="20"/>
          <w:szCs w:val="20"/>
          <w:lang w:val="en-US"/>
        </w:rPr>
      </w:pPr>
      <w:r w:rsidRPr="00423C6E">
        <w:rPr>
          <w:rStyle w:val="FootnoteReference"/>
          <w:rFonts w:asciiTheme="minorHAnsi" w:hAnsiTheme="minorHAnsi"/>
          <w:sz w:val="20"/>
          <w:szCs w:val="20"/>
        </w:rPr>
        <w:footnoteRef/>
      </w:r>
      <w:r w:rsidRPr="00423C6E">
        <w:rPr>
          <w:rFonts w:asciiTheme="minorHAnsi" w:hAnsiTheme="minorHAnsi"/>
          <w:sz w:val="20"/>
          <w:szCs w:val="20"/>
        </w:rPr>
        <w:t xml:space="preserve"> </w:t>
      </w:r>
      <w:proofErr w:type="gramStart"/>
      <w:r>
        <w:rPr>
          <w:rFonts w:asciiTheme="minorHAnsi" w:hAnsiTheme="minorHAnsi"/>
          <w:sz w:val="20"/>
          <w:szCs w:val="20"/>
        </w:rPr>
        <w:t>[2012] NSWCA 44 at [64]-</w:t>
      </w:r>
      <w:r w:rsidRPr="00423C6E">
        <w:rPr>
          <w:rFonts w:asciiTheme="minorHAnsi" w:hAnsiTheme="minorHAnsi"/>
          <w:sz w:val="20"/>
          <w:szCs w:val="20"/>
        </w:rPr>
        <w:t>[65]</w:t>
      </w:r>
      <w:r>
        <w:rPr>
          <w:rFonts w:asciiTheme="minorHAnsi" w:hAnsiTheme="minorHAnsi"/>
          <w:sz w:val="20"/>
          <w:szCs w:val="20"/>
        </w:rPr>
        <w:t xml:space="preserve"> per </w:t>
      </w:r>
      <w:proofErr w:type="spellStart"/>
      <w:r>
        <w:rPr>
          <w:rFonts w:asciiTheme="minorHAnsi" w:hAnsiTheme="minorHAnsi"/>
          <w:sz w:val="20"/>
          <w:szCs w:val="20"/>
        </w:rPr>
        <w:t>Allsop</w:t>
      </w:r>
      <w:proofErr w:type="spellEnd"/>
      <w:r>
        <w:rPr>
          <w:rFonts w:asciiTheme="minorHAnsi" w:hAnsiTheme="minorHAnsi"/>
          <w:sz w:val="20"/>
          <w:szCs w:val="20"/>
        </w:rPr>
        <w:t xml:space="preserve"> P</w:t>
      </w:r>
      <w:r w:rsidRPr="00423C6E">
        <w:rPr>
          <w:rFonts w:asciiTheme="minorHAnsi" w:hAnsiTheme="minorHAnsi"/>
          <w:sz w:val="20"/>
          <w:szCs w:val="20"/>
        </w:rPr>
        <w:t>.</w:t>
      </w:r>
      <w:proofErr w:type="gramEnd"/>
    </w:p>
  </w:footnote>
  <w:footnote w:id="15">
    <w:p w14:paraId="4E5900A2" w14:textId="77777777" w:rsidR="0050058B" w:rsidRPr="00063C14" w:rsidRDefault="0050058B" w:rsidP="005446AB">
      <w:pPr>
        <w:pStyle w:val="FootnoteText"/>
        <w:rPr>
          <w:lang w:val="en-US"/>
        </w:rPr>
      </w:pPr>
      <w:r w:rsidRPr="00333899">
        <w:rPr>
          <w:rStyle w:val="FootnoteReference"/>
          <w:rFonts w:asciiTheme="minorHAnsi" w:hAnsiTheme="minorHAnsi"/>
        </w:rPr>
        <w:footnoteRef/>
      </w:r>
      <w:r>
        <w:t xml:space="preserve"> </w:t>
      </w:r>
      <w:r w:rsidRPr="001C7F87">
        <w:rPr>
          <w:rFonts w:asciiTheme="minorHAnsi" w:hAnsiTheme="minorHAnsi"/>
          <w:sz w:val="20"/>
          <w:szCs w:val="20"/>
          <w:lang w:val="en-US"/>
        </w:rPr>
        <w:t xml:space="preserve">For example, see Will </w:t>
      </w:r>
      <w:proofErr w:type="spellStart"/>
      <w:r w:rsidRPr="001C7F87">
        <w:rPr>
          <w:rFonts w:asciiTheme="minorHAnsi" w:hAnsiTheme="minorHAnsi"/>
          <w:sz w:val="20"/>
          <w:szCs w:val="20"/>
          <w:lang w:val="en-US"/>
        </w:rPr>
        <w:t>Hodgman’s</w:t>
      </w:r>
      <w:proofErr w:type="spellEnd"/>
      <w:r w:rsidRPr="001C7F87">
        <w:rPr>
          <w:rFonts w:asciiTheme="minorHAnsi" w:hAnsiTheme="minorHAnsi"/>
          <w:sz w:val="20"/>
          <w:szCs w:val="20"/>
          <w:lang w:val="en-US"/>
        </w:rPr>
        <w:t xml:space="preserve"> comments that the proposed amendments “</w:t>
      </w:r>
      <w:r w:rsidRPr="001C7F87">
        <w:rPr>
          <w:rFonts w:asciiTheme="minorHAnsi" w:hAnsiTheme="minorHAnsi"/>
          <w:sz w:val="20"/>
          <w:szCs w:val="20"/>
        </w:rPr>
        <w:t xml:space="preserve">will provide for genuine protection of freedom of religion during public debate by striking a fairer balance between the right to free speech and the need to protect people from unlawful conduct”: </w:t>
      </w:r>
      <w:r w:rsidRPr="001C7F87">
        <w:rPr>
          <w:rFonts w:asciiTheme="minorHAnsi" w:hAnsiTheme="minorHAnsi"/>
          <w:i/>
          <w:sz w:val="20"/>
          <w:szCs w:val="20"/>
        </w:rPr>
        <w:t>Hansard</w:t>
      </w:r>
      <w:r w:rsidRPr="001C7F87">
        <w:rPr>
          <w:rFonts w:asciiTheme="minorHAnsi" w:hAnsiTheme="minorHAnsi"/>
          <w:sz w:val="20"/>
          <w:szCs w:val="20"/>
        </w:rPr>
        <w:t xml:space="preserve">, House of Assembly, Wednesday 17 August 2016. Also see Attorney-General Vanessa Goodwin’s comments that “the proposed changes seek to strike the right balance between providing protection from discrimination and unlawful conduct, while still allowing for genuine public debate and discussion on important issues”: Media Release, </w:t>
      </w:r>
      <w:r w:rsidRPr="001C7F87">
        <w:rPr>
          <w:rFonts w:asciiTheme="minorHAnsi" w:hAnsiTheme="minorHAnsi"/>
          <w:i/>
          <w:sz w:val="20"/>
          <w:szCs w:val="20"/>
        </w:rPr>
        <w:t>Anti-Discrimination Act changes released for consultation</w:t>
      </w:r>
      <w:r w:rsidRPr="001C7F87">
        <w:rPr>
          <w:rFonts w:asciiTheme="minorHAnsi" w:hAnsiTheme="minorHAnsi"/>
          <w:sz w:val="20"/>
          <w:szCs w:val="20"/>
        </w:rPr>
        <w:t>, 25 August 2016.</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88C"/>
    <w:multiLevelType w:val="multilevel"/>
    <w:tmpl w:val="0DBE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B0EF7"/>
    <w:multiLevelType w:val="hybridMultilevel"/>
    <w:tmpl w:val="A0B6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D4514"/>
    <w:multiLevelType w:val="multilevel"/>
    <w:tmpl w:val="8F42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FB5B78"/>
    <w:multiLevelType w:val="multilevel"/>
    <w:tmpl w:val="84B2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D513EC"/>
    <w:multiLevelType w:val="multilevel"/>
    <w:tmpl w:val="CEDE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F6BFD"/>
    <w:multiLevelType w:val="multilevel"/>
    <w:tmpl w:val="84B2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32"/>
    </w:lvlOverride>
  </w:num>
  <w:num w:numId="3">
    <w:abstractNumId w:val="4"/>
    <w:lvlOverride w:ilvl="0">
      <w:startOverride w:val="33"/>
    </w:lvlOverride>
  </w:num>
  <w:num w:numId="4">
    <w:abstractNumId w:val="3"/>
    <w:lvlOverride w:ilvl="0">
      <w:startOverride w:val="64"/>
    </w:lvlOverride>
  </w:num>
  <w:num w:numId="5">
    <w:abstractNumId w:val="0"/>
    <w:lvlOverride w:ilvl="0">
      <w:startOverride w:val="65"/>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05"/>
    <w:rsid w:val="00041966"/>
    <w:rsid w:val="0004444D"/>
    <w:rsid w:val="00056C94"/>
    <w:rsid w:val="00063C14"/>
    <w:rsid w:val="00072E41"/>
    <w:rsid w:val="00075FA1"/>
    <w:rsid w:val="000A1B34"/>
    <w:rsid w:val="000B4658"/>
    <w:rsid w:val="000D0437"/>
    <w:rsid w:val="000E24E6"/>
    <w:rsid w:val="0010289A"/>
    <w:rsid w:val="001047A6"/>
    <w:rsid w:val="001171D3"/>
    <w:rsid w:val="00147D84"/>
    <w:rsid w:val="00190D81"/>
    <w:rsid w:val="001A7242"/>
    <w:rsid w:val="001B1034"/>
    <w:rsid w:val="001C5C73"/>
    <w:rsid w:val="001C7F87"/>
    <w:rsid w:val="001E1E46"/>
    <w:rsid w:val="00204A82"/>
    <w:rsid w:val="002305CC"/>
    <w:rsid w:val="00240AED"/>
    <w:rsid w:val="002532BB"/>
    <w:rsid w:val="00256B7A"/>
    <w:rsid w:val="002575DE"/>
    <w:rsid w:val="00271529"/>
    <w:rsid w:val="002942F9"/>
    <w:rsid w:val="002D1DF4"/>
    <w:rsid w:val="002E7BB4"/>
    <w:rsid w:val="00316CC0"/>
    <w:rsid w:val="003201E0"/>
    <w:rsid w:val="00333899"/>
    <w:rsid w:val="00341EB1"/>
    <w:rsid w:val="003459DF"/>
    <w:rsid w:val="004444C9"/>
    <w:rsid w:val="00491A76"/>
    <w:rsid w:val="0049628B"/>
    <w:rsid w:val="004B2F9F"/>
    <w:rsid w:val="004C0469"/>
    <w:rsid w:val="0050058B"/>
    <w:rsid w:val="005446AB"/>
    <w:rsid w:val="005476EE"/>
    <w:rsid w:val="00560753"/>
    <w:rsid w:val="00572C0F"/>
    <w:rsid w:val="006177AA"/>
    <w:rsid w:val="006271CE"/>
    <w:rsid w:val="00634771"/>
    <w:rsid w:val="006547ED"/>
    <w:rsid w:val="00662D09"/>
    <w:rsid w:val="0067210E"/>
    <w:rsid w:val="00697A05"/>
    <w:rsid w:val="006D4A9F"/>
    <w:rsid w:val="006D7A8A"/>
    <w:rsid w:val="006D7ADC"/>
    <w:rsid w:val="00737AB5"/>
    <w:rsid w:val="00750F1D"/>
    <w:rsid w:val="007648C6"/>
    <w:rsid w:val="007754D8"/>
    <w:rsid w:val="007933FF"/>
    <w:rsid w:val="008164F9"/>
    <w:rsid w:val="008D735E"/>
    <w:rsid w:val="00904445"/>
    <w:rsid w:val="00957E80"/>
    <w:rsid w:val="00980EBF"/>
    <w:rsid w:val="009B3559"/>
    <w:rsid w:val="00A16303"/>
    <w:rsid w:val="00A31CB7"/>
    <w:rsid w:val="00A74B28"/>
    <w:rsid w:val="00AB4978"/>
    <w:rsid w:val="00AE2993"/>
    <w:rsid w:val="00B052BC"/>
    <w:rsid w:val="00B1016A"/>
    <w:rsid w:val="00B24F47"/>
    <w:rsid w:val="00B36748"/>
    <w:rsid w:val="00B545CB"/>
    <w:rsid w:val="00B54B9F"/>
    <w:rsid w:val="00B77014"/>
    <w:rsid w:val="00B9255B"/>
    <w:rsid w:val="00C731F0"/>
    <w:rsid w:val="00C93A6A"/>
    <w:rsid w:val="00CA60DB"/>
    <w:rsid w:val="00CC1478"/>
    <w:rsid w:val="00CD0651"/>
    <w:rsid w:val="00D05AB7"/>
    <w:rsid w:val="00D613B5"/>
    <w:rsid w:val="00E539FA"/>
    <w:rsid w:val="00E57426"/>
    <w:rsid w:val="00E72E5C"/>
    <w:rsid w:val="00EE33D8"/>
    <w:rsid w:val="00EE791C"/>
    <w:rsid w:val="00EF185E"/>
    <w:rsid w:val="00F13C24"/>
    <w:rsid w:val="00F57A99"/>
    <w:rsid w:val="00F70C95"/>
    <w:rsid w:val="00F73BF6"/>
    <w:rsid w:val="00F84F48"/>
    <w:rsid w:val="00FA1C99"/>
    <w:rsid w:val="00FC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5C4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7A05"/>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697A05"/>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697A05"/>
    <w:rPr>
      <w:vertAlign w:val="superscript"/>
    </w:rPr>
  </w:style>
  <w:style w:type="paragraph" w:styleId="BalloonText">
    <w:name w:val="Balloon Text"/>
    <w:basedOn w:val="Normal"/>
    <w:link w:val="BalloonTextChar"/>
    <w:uiPriority w:val="99"/>
    <w:semiHidden/>
    <w:unhideWhenUsed/>
    <w:rsid w:val="00697A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A05"/>
    <w:rPr>
      <w:rFonts w:ascii="Lucida Grande" w:hAnsi="Lucida Grande" w:cs="Lucida Grande"/>
      <w:sz w:val="18"/>
      <w:szCs w:val="18"/>
    </w:rPr>
  </w:style>
  <w:style w:type="paragraph" w:styleId="NormalWeb">
    <w:name w:val="Normal (Web)"/>
    <w:basedOn w:val="Normal"/>
    <w:uiPriority w:val="99"/>
    <w:semiHidden/>
    <w:unhideWhenUsed/>
    <w:rsid w:val="002E7BB4"/>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662D09"/>
    <w:rPr>
      <w:color w:val="0000FF"/>
      <w:u w:val="single"/>
    </w:rPr>
  </w:style>
  <w:style w:type="paragraph" w:customStyle="1" w:styleId="style3">
    <w:name w:val="style3"/>
    <w:basedOn w:val="Normal"/>
    <w:rsid w:val="000B4658"/>
    <w:pPr>
      <w:spacing w:before="100" w:beforeAutospacing="1" w:after="100" w:afterAutospacing="1"/>
    </w:pPr>
    <w:rPr>
      <w:rFonts w:ascii="Times" w:hAnsi="Times"/>
      <w:sz w:val="20"/>
      <w:szCs w:val="20"/>
      <w:lang w:val="en-AU"/>
    </w:rPr>
  </w:style>
  <w:style w:type="paragraph" w:customStyle="1" w:styleId="style1">
    <w:name w:val="style1"/>
    <w:basedOn w:val="Normal"/>
    <w:rsid w:val="000B4658"/>
    <w:pPr>
      <w:spacing w:before="100" w:beforeAutospacing="1" w:after="100" w:afterAutospacing="1"/>
    </w:pPr>
    <w:rPr>
      <w:rFonts w:ascii="Times" w:hAnsi="Times"/>
      <w:sz w:val="20"/>
      <w:szCs w:val="20"/>
      <w:lang w:val="en-AU"/>
    </w:rPr>
  </w:style>
  <w:style w:type="character" w:customStyle="1" w:styleId="isysmarkup">
    <w:name w:val="__isysmarkup"/>
    <w:basedOn w:val="DefaultParagraphFont"/>
    <w:rsid w:val="000B4658"/>
  </w:style>
  <w:style w:type="character" w:customStyle="1" w:styleId="paraheader">
    <w:name w:val="paraheader"/>
    <w:basedOn w:val="DefaultParagraphFont"/>
    <w:rsid w:val="004444C9"/>
  </w:style>
  <w:style w:type="character" w:styleId="FollowedHyperlink">
    <w:name w:val="FollowedHyperlink"/>
    <w:basedOn w:val="DefaultParagraphFont"/>
    <w:uiPriority w:val="99"/>
    <w:semiHidden/>
    <w:unhideWhenUsed/>
    <w:rsid w:val="004444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7A05"/>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697A05"/>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697A05"/>
    <w:rPr>
      <w:vertAlign w:val="superscript"/>
    </w:rPr>
  </w:style>
  <w:style w:type="paragraph" w:styleId="BalloonText">
    <w:name w:val="Balloon Text"/>
    <w:basedOn w:val="Normal"/>
    <w:link w:val="BalloonTextChar"/>
    <w:uiPriority w:val="99"/>
    <w:semiHidden/>
    <w:unhideWhenUsed/>
    <w:rsid w:val="00697A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A05"/>
    <w:rPr>
      <w:rFonts w:ascii="Lucida Grande" w:hAnsi="Lucida Grande" w:cs="Lucida Grande"/>
      <w:sz w:val="18"/>
      <w:szCs w:val="18"/>
    </w:rPr>
  </w:style>
  <w:style w:type="paragraph" w:styleId="NormalWeb">
    <w:name w:val="Normal (Web)"/>
    <w:basedOn w:val="Normal"/>
    <w:uiPriority w:val="99"/>
    <w:semiHidden/>
    <w:unhideWhenUsed/>
    <w:rsid w:val="002E7BB4"/>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662D09"/>
    <w:rPr>
      <w:color w:val="0000FF"/>
      <w:u w:val="single"/>
    </w:rPr>
  </w:style>
  <w:style w:type="paragraph" w:customStyle="1" w:styleId="style3">
    <w:name w:val="style3"/>
    <w:basedOn w:val="Normal"/>
    <w:rsid w:val="000B4658"/>
    <w:pPr>
      <w:spacing w:before="100" w:beforeAutospacing="1" w:after="100" w:afterAutospacing="1"/>
    </w:pPr>
    <w:rPr>
      <w:rFonts w:ascii="Times" w:hAnsi="Times"/>
      <w:sz w:val="20"/>
      <w:szCs w:val="20"/>
      <w:lang w:val="en-AU"/>
    </w:rPr>
  </w:style>
  <w:style w:type="paragraph" w:customStyle="1" w:styleId="style1">
    <w:name w:val="style1"/>
    <w:basedOn w:val="Normal"/>
    <w:rsid w:val="000B4658"/>
    <w:pPr>
      <w:spacing w:before="100" w:beforeAutospacing="1" w:after="100" w:afterAutospacing="1"/>
    </w:pPr>
    <w:rPr>
      <w:rFonts w:ascii="Times" w:hAnsi="Times"/>
      <w:sz w:val="20"/>
      <w:szCs w:val="20"/>
      <w:lang w:val="en-AU"/>
    </w:rPr>
  </w:style>
  <w:style w:type="character" w:customStyle="1" w:styleId="isysmarkup">
    <w:name w:val="__isysmarkup"/>
    <w:basedOn w:val="DefaultParagraphFont"/>
    <w:rsid w:val="000B4658"/>
  </w:style>
  <w:style w:type="character" w:customStyle="1" w:styleId="paraheader">
    <w:name w:val="paraheader"/>
    <w:basedOn w:val="DefaultParagraphFont"/>
    <w:rsid w:val="004444C9"/>
  </w:style>
  <w:style w:type="character" w:styleId="FollowedHyperlink">
    <w:name w:val="FollowedHyperlink"/>
    <w:basedOn w:val="DefaultParagraphFont"/>
    <w:uiPriority w:val="99"/>
    <w:semiHidden/>
    <w:unhideWhenUsed/>
    <w:rsid w:val="00444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09">
      <w:bodyDiv w:val="1"/>
      <w:marLeft w:val="0"/>
      <w:marRight w:val="0"/>
      <w:marTop w:val="0"/>
      <w:marBottom w:val="0"/>
      <w:divBdr>
        <w:top w:val="none" w:sz="0" w:space="0" w:color="auto"/>
        <w:left w:val="none" w:sz="0" w:space="0" w:color="auto"/>
        <w:bottom w:val="none" w:sz="0" w:space="0" w:color="auto"/>
        <w:right w:val="none" w:sz="0" w:space="0" w:color="auto"/>
      </w:divBdr>
      <w:divsChild>
        <w:div w:id="1989935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855296">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0"/>
          <w:marRight w:val="0"/>
          <w:marTop w:val="0"/>
          <w:marBottom w:val="0"/>
          <w:divBdr>
            <w:top w:val="none" w:sz="0" w:space="0" w:color="auto"/>
            <w:left w:val="none" w:sz="0" w:space="0" w:color="auto"/>
            <w:bottom w:val="none" w:sz="0" w:space="0" w:color="auto"/>
            <w:right w:val="none" w:sz="0" w:space="0" w:color="auto"/>
          </w:divBdr>
        </w:div>
        <w:div w:id="21633991">
          <w:marLeft w:val="0"/>
          <w:marRight w:val="0"/>
          <w:marTop w:val="0"/>
          <w:marBottom w:val="0"/>
          <w:divBdr>
            <w:top w:val="none" w:sz="0" w:space="0" w:color="auto"/>
            <w:left w:val="none" w:sz="0" w:space="0" w:color="auto"/>
            <w:bottom w:val="none" w:sz="0" w:space="0" w:color="auto"/>
            <w:right w:val="none" w:sz="0" w:space="0" w:color="auto"/>
          </w:divBdr>
        </w:div>
        <w:div w:id="831867776">
          <w:marLeft w:val="0"/>
          <w:marRight w:val="0"/>
          <w:marTop w:val="0"/>
          <w:marBottom w:val="0"/>
          <w:divBdr>
            <w:top w:val="none" w:sz="0" w:space="0" w:color="auto"/>
            <w:left w:val="none" w:sz="0" w:space="0" w:color="auto"/>
            <w:bottom w:val="none" w:sz="0" w:space="0" w:color="auto"/>
            <w:right w:val="none" w:sz="0" w:space="0" w:color="auto"/>
          </w:divBdr>
        </w:div>
        <w:div w:id="520317814">
          <w:marLeft w:val="0"/>
          <w:marRight w:val="0"/>
          <w:marTop w:val="0"/>
          <w:marBottom w:val="0"/>
          <w:divBdr>
            <w:top w:val="none" w:sz="0" w:space="0" w:color="auto"/>
            <w:left w:val="none" w:sz="0" w:space="0" w:color="auto"/>
            <w:bottom w:val="none" w:sz="0" w:space="0" w:color="auto"/>
            <w:right w:val="none" w:sz="0" w:space="0" w:color="auto"/>
          </w:divBdr>
        </w:div>
        <w:div w:id="859121458">
          <w:marLeft w:val="0"/>
          <w:marRight w:val="0"/>
          <w:marTop w:val="0"/>
          <w:marBottom w:val="0"/>
          <w:divBdr>
            <w:top w:val="none" w:sz="0" w:space="0" w:color="auto"/>
            <w:left w:val="none" w:sz="0" w:space="0" w:color="auto"/>
            <w:bottom w:val="none" w:sz="0" w:space="0" w:color="auto"/>
            <w:right w:val="none" w:sz="0" w:space="0" w:color="auto"/>
          </w:divBdr>
        </w:div>
        <w:div w:id="949167451">
          <w:marLeft w:val="0"/>
          <w:marRight w:val="0"/>
          <w:marTop w:val="0"/>
          <w:marBottom w:val="0"/>
          <w:divBdr>
            <w:top w:val="none" w:sz="0" w:space="0" w:color="auto"/>
            <w:left w:val="none" w:sz="0" w:space="0" w:color="auto"/>
            <w:bottom w:val="none" w:sz="0" w:space="0" w:color="auto"/>
            <w:right w:val="none" w:sz="0" w:space="0" w:color="auto"/>
          </w:divBdr>
        </w:div>
      </w:divsChild>
    </w:div>
    <w:div w:id="959802096">
      <w:bodyDiv w:val="1"/>
      <w:marLeft w:val="0"/>
      <w:marRight w:val="0"/>
      <w:marTop w:val="0"/>
      <w:marBottom w:val="0"/>
      <w:divBdr>
        <w:top w:val="none" w:sz="0" w:space="0" w:color="auto"/>
        <w:left w:val="none" w:sz="0" w:space="0" w:color="auto"/>
        <w:bottom w:val="none" w:sz="0" w:space="0" w:color="auto"/>
        <w:right w:val="none" w:sz="0" w:space="0" w:color="auto"/>
      </w:divBdr>
    </w:div>
    <w:div w:id="1213465121">
      <w:bodyDiv w:val="1"/>
      <w:marLeft w:val="0"/>
      <w:marRight w:val="0"/>
      <w:marTop w:val="0"/>
      <w:marBottom w:val="0"/>
      <w:divBdr>
        <w:top w:val="none" w:sz="0" w:space="0" w:color="auto"/>
        <w:left w:val="none" w:sz="0" w:space="0" w:color="auto"/>
        <w:bottom w:val="none" w:sz="0" w:space="0" w:color="auto"/>
        <w:right w:val="none" w:sz="0" w:space="0" w:color="auto"/>
      </w:divBdr>
      <w:divsChild>
        <w:div w:id="1112241601">
          <w:marLeft w:val="0"/>
          <w:marRight w:val="0"/>
          <w:marTop w:val="0"/>
          <w:marBottom w:val="0"/>
          <w:divBdr>
            <w:top w:val="none" w:sz="0" w:space="0" w:color="auto"/>
            <w:left w:val="none" w:sz="0" w:space="0" w:color="auto"/>
            <w:bottom w:val="none" w:sz="0" w:space="0" w:color="auto"/>
            <w:right w:val="none" w:sz="0" w:space="0" w:color="auto"/>
          </w:divBdr>
        </w:div>
        <w:div w:id="604701942">
          <w:marLeft w:val="0"/>
          <w:marRight w:val="0"/>
          <w:marTop w:val="0"/>
          <w:marBottom w:val="0"/>
          <w:divBdr>
            <w:top w:val="none" w:sz="0" w:space="0" w:color="auto"/>
            <w:left w:val="none" w:sz="0" w:space="0" w:color="auto"/>
            <w:bottom w:val="none" w:sz="0" w:space="0" w:color="auto"/>
            <w:right w:val="none" w:sz="0" w:space="0" w:color="auto"/>
          </w:divBdr>
        </w:div>
        <w:div w:id="1435128768">
          <w:marLeft w:val="0"/>
          <w:marRight w:val="0"/>
          <w:marTop w:val="0"/>
          <w:marBottom w:val="0"/>
          <w:divBdr>
            <w:top w:val="none" w:sz="0" w:space="0" w:color="auto"/>
            <w:left w:val="none" w:sz="0" w:space="0" w:color="auto"/>
            <w:bottom w:val="none" w:sz="0" w:space="0" w:color="auto"/>
            <w:right w:val="none" w:sz="0" w:space="0" w:color="auto"/>
          </w:divBdr>
        </w:div>
        <w:div w:id="145245076">
          <w:marLeft w:val="0"/>
          <w:marRight w:val="0"/>
          <w:marTop w:val="0"/>
          <w:marBottom w:val="0"/>
          <w:divBdr>
            <w:top w:val="none" w:sz="0" w:space="0" w:color="auto"/>
            <w:left w:val="none" w:sz="0" w:space="0" w:color="auto"/>
            <w:bottom w:val="none" w:sz="0" w:space="0" w:color="auto"/>
            <w:right w:val="none" w:sz="0" w:space="0" w:color="auto"/>
          </w:divBdr>
        </w:div>
        <w:div w:id="287784974">
          <w:marLeft w:val="0"/>
          <w:marRight w:val="0"/>
          <w:marTop w:val="0"/>
          <w:marBottom w:val="0"/>
          <w:divBdr>
            <w:top w:val="none" w:sz="0" w:space="0" w:color="auto"/>
            <w:left w:val="none" w:sz="0" w:space="0" w:color="auto"/>
            <w:bottom w:val="none" w:sz="0" w:space="0" w:color="auto"/>
            <w:right w:val="none" w:sz="0" w:space="0" w:color="auto"/>
          </w:divBdr>
        </w:div>
        <w:div w:id="2071953168">
          <w:marLeft w:val="0"/>
          <w:marRight w:val="0"/>
          <w:marTop w:val="0"/>
          <w:marBottom w:val="0"/>
          <w:divBdr>
            <w:top w:val="none" w:sz="0" w:space="0" w:color="auto"/>
            <w:left w:val="none" w:sz="0" w:space="0" w:color="auto"/>
            <w:bottom w:val="none" w:sz="0" w:space="0" w:color="auto"/>
            <w:right w:val="none" w:sz="0" w:space="0" w:color="auto"/>
          </w:divBdr>
        </w:div>
        <w:div w:id="726338609">
          <w:marLeft w:val="0"/>
          <w:marRight w:val="0"/>
          <w:marTop w:val="0"/>
          <w:marBottom w:val="0"/>
          <w:divBdr>
            <w:top w:val="none" w:sz="0" w:space="0" w:color="auto"/>
            <w:left w:val="none" w:sz="0" w:space="0" w:color="auto"/>
            <w:bottom w:val="none" w:sz="0" w:space="0" w:color="auto"/>
            <w:right w:val="none" w:sz="0" w:space="0" w:color="auto"/>
          </w:divBdr>
        </w:div>
      </w:divsChild>
    </w:div>
    <w:div w:id="1298873630">
      <w:bodyDiv w:val="1"/>
      <w:marLeft w:val="0"/>
      <w:marRight w:val="0"/>
      <w:marTop w:val="0"/>
      <w:marBottom w:val="0"/>
      <w:divBdr>
        <w:top w:val="none" w:sz="0" w:space="0" w:color="auto"/>
        <w:left w:val="none" w:sz="0" w:space="0" w:color="auto"/>
        <w:bottom w:val="none" w:sz="0" w:space="0" w:color="auto"/>
        <w:right w:val="none" w:sz="0" w:space="0" w:color="auto"/>
      </w:divBdr>
      <w:divsChild>
        <w:div w:id="175586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630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1498069">
      <w:bodyDiv w:val="1"/>
      <w:marLeft w:val="0"/>
      <w:marRight w:val="0"/>
      <w:marTop w:val="0"/>
      <w:marBottom w:val="0"/>
      <w:divBdr>
        <w:top w:val="none" w:sz="0" w:space="0" w:color="auto"/>
        <w:left w:val="none" w:sz="0" w:space="0" w:color="auto"/>
        <w:bottom w:val="none" w:sz="0" w:space="0" w:color="auto"/>
        <w:right w:val="none" w:sz="0" w:space="0" w:color="auto"/>
      </w:divBdr>
      <w:divsChild>
        <w:div w:id="1221479011">
          <w:marLeft w:val="0"/>
          <w:marRight w:val="0"/>
          <w:marTop w:val="0"/>
          <w:marBottom w:val="0"/>
          <w:divBdr>
            <w:top w:val="none" w:sz="0" w:space="0" w:color="auto"/>
            <w:left w:val="none" w:sz="0" w:space="0" w:color="auto"/>
            <w:bottom w:val="none" w:sz="0" w:space="0" w:color="auto"/>
            <w:right w:val="none" w:sz="0" w:space="0" w:color="auto"/>
          </w:divBdr>
        </w:div>
        <w:div w:id="1170676156">
          <w:marLeft w:val="0"/>
          <w:marRight w:val="0"/>
          <w:marTop w:val="0"/>
          <w:marBottom w:val="0"/>
          <w:divBdr>
            <w:top w:val="none" w:sz="0" w:space="0" w:color="auto"/>
            <w:left w:val="none" w:sz="0" w:space="0" w:color="auto"/>
            <w:bottom w:val="none" w:sz="0" w:space="0" w:color="auto"/>
            <w:right w:val="none" w:sz="0" w:space="0" w:color="auto"/>
          </w:divBdr>
        </w:div>
        <w:div w:id="1245993165">
          <w:marLeft w:val="0"/>
          <w:marRight w:val="0"/>
          <w:marTop w:val="0"/>
          <w:marBottom w:val="0"/>
          <w:divBdr>
            <w:top w:val="none" w:sz="0" w:space="0" w:color="auto"/>
            <w:left w:val="none" w:sz="0" w:space="0" w:color="auto"/>
            <w:bottom w:val="none" w:sz="0" w:space="0" w:color="auto"/>
            <w:right w:val="none" w:sz="0" w:space="0" w:color="auto"/>
          </w:divBdr>
        </w:div>
        <w:div w:id="1143809131">
          <w:marLeft w:val="0"/>
          <w:marRight w:val="0"/>
          <w:marTop w:val="0"/>
          <w:marBottom w:val="0"/>
          <w:divBdr>
            <w:top w:val="none" w:sz="0" w:space="0" w:color="auto"/>
            <w:left w:val="none" w:sz="0" w:space="0" w:color="auto"/>
            <w:bottom w:val="none" w:sz="0" w:space="0" w:color="auto"/>
            <w:right w:val="none" w:sz="0" w:space="0" w:color="auto"/>
          </w:divBdr>
        </w:div>
        <w:div w:id="567770582">
          <w:marLeft w:val="0"/>
          <w:marRight w:val="0"/>
          <w:marTop w:val="0"/>
          <w:marBottom w:val="0"/>
          <w:divBdr>
            <w:top w:val="none" w:sz="0" w:space="0" w:color="auto"/>
            <w:left w:val="none" w:sz="0" w:space="0" w:color="auto"/>
            <w:bottom w:val="none" w:sz="0" w:space="0" w:color="auto"/>
            <w:right w:val="none" w:sz="0" w:space="0" w:color="auto"/>
          </w:divBdr>
        </w:div>
        <w:div w:id="757671984">
          <w:marLeft w:val="0"/>
          <w:marRight w:val="0"/>
          <w:marTop w:val="0"/>
          <w:marBottom w:val="0"/>
          <w:divBdr>
            <w:top w:val="none" w:sz="0" w:space="0" w:color="auto"/>
            <w:left w:val="none" w:sz="0" w:space="0" w:color="auto"/>
            <w:bottom w:val="none" w:sz="0" w:space="0" w:color="auto"/>
            <w:right w:val="none" w:sz="0" w:space="0" w:color="auto"/>
          </w:divBdr>
        </w:div>
        <w:div w:id="1271626823">
          <w:marLeft w:val="0"/>
          <w:marRight w:val="0"/>
          <w:marTop w:val="0"/>
          <w:marBottom w:val="0"/>
          <w:divBdr>
            <w:top w:val="none" w:sz="0" w:space="0" w:color="auto"/>
            <w:left w:val="none" w:sz="0" w:space="0" w:color="auto"/>
            <w:bottom w:val="none" w:sz="0" w:space="0" w:color="auto"/>
            <w:right w:val="none" w:sz="0" w:space="0" w:color="auto"/>
          </w:divBdr>
        </w:div>
      </w:divsChild>
    </w:div>
    <w:div w:id="1384407095">
      <w:bodyDiv w:val="1"/>
      <w:marLeft w:val="0"/>
      <w:marRight w:val="0"/>
      <w:marTop w:val="0"/>
      <w:marBottom w:val="0"/>
      <w:divBdr>
        <w:top w:val="none" w:sz="0" w:space="0" w:color="auto"/>
        <w:left w:val="none" w:sz="0" w:space="0" w:color="auto"/>
        <w:bottom w:val="none" w:sz="0" w:space="0" w:color="auto"/>
        <w:right w:val="none" w:sz="0" w:space="0" w:color="auto"/>
      </w:divBdr>
      <w:divsChild>
        <w:div w:id="1564561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293767">
      <w:bodyDiv w:val="1"/>
      <w:marLeft w:val="0"/>
      <w:marRight w:val="0"/>
      <w:marTop w:val="0"/>
      <w:marBottom w:val="0"/>
      <w:divBdr>
        <w:top w:val="none" w:sz="0" w:space="0" w:color="auto"/>
        <w:left w:val="none" w:sz="0" w:space="0" w:color="auto"/>
        <w:bottom w:val="none" w:sz="0" w:space="0" w:color="auto"/>
        <w:right w:val="none" w:sz="0" w:space="0" w:color="auto"/>
      </w:divBdr>
    </w:div>
    <w:div w:id="1497384586">
      <w:bodyDiv w:val="1"/>
      <w:marLeft w:val="0"/>
      <w:marRight w:val="0"/>
      <w:marTop w:val="0"/>
      <w:marBottom w:val="0"/>
      <w:divBdr>
        <w:top w:val="none" w:sz="0" w:space="0" w:color="auto"/>
        <w:left w:val="none" w:sz="0" w:space="0" w:color="auto"/>
        <w:bottom w:val="none" w:sz="0" w:space="0" w:color="auto"/>
        <w:right w:val="none" w:sz="0" w:space="0" w:color="auto"/>
      </w:divBdr>
    </w:div>
    <w:div w:id="1796749526">
      <w:bodyDiv w:val="1"/>
      <w:marLeft w:val="0"/>
      <w:marRight w:val="0"/>
      <w:marTop w:val="0"/>
      <w:marBottom w:val="0"/>
      <w:divBdr>
        <w:top w:val="none" w:sz="0" w:space="0" w:color="auto"/>
        <w:left w:val="none" w:sz="0" w:space="0" w:color="auto"/>
        <w:bottom w:val="none" w:sz="0" w:space="0" w:color="auto"/>
        <w:right w:val="none" w:sz="0" w:space="0" w:color="auto"/>
      </w:divBdr>
      <w:divsChild>
        <w:div w:id="72452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cgi-bin/LawCite?cit=%5b2007%5d%20TASADT%2003?stem=0&amp;synonyms=0&amp;query=sexual%20ori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081F-4C26-5C42-A84C-313CC235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1551</Words>
  <Characters>8841</Characters>
  <Application>Microsoft Macintosh Word</Application>
  <DocSecurity>0</DocSecurity>
  <Lines>73</Lines>
  <Paragraphs>20</Paragraphs>
  <ScaleCrop>false</ScaleCrop>
  <Company>TACLC</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Ben Bartl</cp:lastModifiedBy>
  <cp:revision>24</cp:revision>
  <cp:lastPrinted>2016-09-12T02:59:00Z</cp:lastPrinted>
  <dcterms:created xsi:type="dcterms:W3CDTF">2016-09-11T23:10:00Z</dcterms:created>
  <dcterms:modified xsi:type="dcterms:W3CDTF">2016-09-12T22:54:00Z</dcterms:modified>
</cp:coreProperties>
</file>